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456" w:type="dxa"/>
        <w:tblLook w:val="04A0" w:firstRow="1" w:lastRow="0" w:firstColumn="1" w:lastColumn="0" w:noHBand="0" w:noVBand="1"/>
      </w:tblPr>
      <w:tblGrid>
        <w:gridCol w:w="955"/>
        <w:gridCol w:w="5619"/>
        <w:gridCol w:w="158"/>
        <w:gridCol w:w="94"/>
        <w:gridCol w:w="3630"/>
      </w:tblGrid>
      <w:tr w:rsidR="00A17AE4" w14:paraId="33816968" w14:textId="77777777" w:rsidTr="00DC2543">
        <w:trPr>
          <w:trHeight w:val="341"/>
        </w:trPr>
        <w:tc>
          <w:tcPr>
            <w:tcW w:w="10456"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DC2543">
        <w:trPr>
          <w:trHeight w:val="341"/>
        </w:trPr>
        <w:tc>
          <w:tcPr>
            <w:tcW w:w="955" w:type="dxa"/>
            <w:vAlign w:val="center"/>
          </w:tcPr>
          <w:p w14:paraId="76C4C99D" w14:textId="77777777" w:rsidR="00093CA9" w:rsidRPr="00BA1D39" w:rsidRDefault="00093CA9" w:rsidP="00093CA9">
            <w:pPr>
              <w:rPr>
                <w:b/>
                <w:bCs/>
              </w:rPr>
            </w:pPr>
            <w:r w:rsidRPr="00BA1D39">
              <w:rPr>
                <w:b/>
                <w:bCs/>
              </w:rPr>
              <w:t>1</w:t>
            </w:r>
          </w:p>
        </w:tc>
        <w:tc>
          <w:tcPr>
            <w:tcW w:w="9501"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DC2543">
        <w:trPr>
          <w:trHeight w:val="533"/>
        </w:trPr>
        <w:tc>
          <w:tcPr>
            <w:tcW w:w="955" w:type="dxa"/>
            <w:vAlign w:val="center"/>
          </w:tcPr>
          <w:p w14:paraId="5B00FA6F" w14:textId="77777777" w:rsidR="00093CA9" w:rsidRDefault="00093CA9" w:rsidP="00093CA9"/>
        </w:tc>
        <w:tc>
          <w:tcPr>
            <w:tcW w:w="9501" w:type="dxa"/>
            <w:gridSpan w:val="4"/>
            <w:tcBorders>
              <w:top w:val="single" w:sz="4" w:space="0" w:color="D0CECE" w:themeColor="background2" w:themeShade="E6"/>
            </w:tcBorders>
            <w:shd w:val="clear" w:color="auto" w:fill="auto"/>
            <w:vAlign w:val="center"/>
          </w:tcPr>
          <w:p w14:paraId="4F9450A3" w14:textId="3967C860" w:rsidR="00093CA9" w:rsidRDefault="00644AD4" w:rsidP="00093CA9">
            <w:r>
              <w:t>Cleary Gottlieb Steen &amp; Hamilton LLP</w:t>
            </w:r>
          </w:p>
        </w:tc>
      </w:tr>
      <w:tr w:rsidR="00093CA9" w14:paraId="68D6C829" w14:textId="77777777" w:rsidTr="00DC2543">
        <w:trPr>
          <w:trHeight w:val="404"/>
        </w:trPr>
        <w:tc>
          <w:tcPr>
            <w:tcW w:w="955" w:type="dxa"/>
            <w:vAlign w:val="center"/>
          </w:tcPr>
          <w:p w14:paraId="2964943E" w14:textId="77777777" w:rsidR="00093CA9" w:rsidRPr="00BA1D39" w:rsidRDefault="00093CA9" w:rsidP="00093CA9">
            <w:pPr>
              <w:rPr>
                <w:b/>
                <w:bCs/>
              </w:rPr>
            </w:pPr>
            <w:r w:rsidRPr="00BA1D39">
              <w:rPr>
                <w:b/>
                <w:bCs/>
              </w:rPr>
              <w:t>2</w:t>
            </w:r>
          </w:p>
        </w:tc>
        <w:tc>
          <w:tcPr>
            <w:tcW w:w="9501"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DC2543">
        <w:trPr>
          <w:trHeight w:val="533"/>
        </w:trPr>
        <w:tc>
          <w:tcPr>
            <w:tcW w:w="955" w:type="dxa"/>
            <w:shd w:val="clear" w:color="auto" w:fill="auto"/>
            <w:vAlign w:val="center"/>
          </w:tcPr>
          <w:p w14:paraId="12C9C9CE" w14:textId="77777777" w:rsidR="00093CA9" w:rsidRDefault="00093CA9" w:rsidP="00093CA9"/>
        </w:tc>
        <w:tc>
          <w:tcPr>
            <w:tcW w:w="9501" w:type="dxa"/>
            <w:gridSpan w:val="4"/>
            <w:shd w:val="clear" w:color="auto" w:fill="auto"/>
            <w:vAlign w:val="center"/>
          </w:tcPr>
          <w:p w14:paraId="624F8F71" w14:textId="54C862B2" w:rsidR="00093CA9" w:rsidRDefault="006840CD" w:rsidP="00093CA9">
            <w:r>
              <w:t>E</w:t>
            </w:r>
            <w:r w:rsidR="000B6597">
              <w:t xml:space="preserve">uropean </w:t>
            </w:r>
            <w:r>
              <w:t>U</w:t>
            </w:r>
            <w:r w:rsidR="000B6597">
              <w:t>nion</w:t>
            </w:r>
          </w:p>
        </w:tc>
      </w:tr>
      <w:tr w:rsidR="00093CA9" w:rsidRPr="00E50B13" w14:paraId="55091B20" w14:textId="77777777" w:rsidTr="00DC2543">
        <w:trPr>
          <w:trHeight w:val="1610"/>
        </w:trPr>
        <w:tc>
          <w:tcPr>
            <w:tcW w:w="955" w:type="dxa"/>
            <w:vAlign w:val="center"/>
          </w:tcPr>
          <w:p w14:paraId="02D6FC2C" w14:textId="77777777" w:rsidR="00093CA9" w:rsidRPr="00BA1D39" w:rsidRDefault="00093CA9" w:rsidP="00093CA9">
            <w:pPr>
              <w:rPr>
                <w:b/>
                <w:bCs/>
              </w:rPr>
            </w:pPr>
            <w:r w:rsidRPr="00BA1D39">
              <w:rPr>
                <w:b/>
                <w:bCs/>
              </w:rPr>
              <w:t>3</w:t>
            </w:r>
          </w:p>
        </w:tc>
        <w:tc>
          <w:tcPr>
            <w:tcW w:w="9501"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DC2543">
        <w:trPr>
          <w:trHeight w:val="533"/>
        </w:trPr>
        <w:tc>
          <w:tcPr>
            <w:tcW w:w="955" w:type="dxa"/>
            <w:vAlign w:val="center"/>
          </w:tcPr>
          <w:p w14:paraId="59627549" w14:textId="77777777" w:rsidR="00093CA9" w:rsidRDefault="00093CA9" w:rsidP="00093CA9"/>
        </w:tc>
        <w:tc>
          <w:tcPr>
            <w:tcW w:w="9501" w:type="dxa"/>
            <w:gridSpan w:val="4"/>
            <w:shd w:val="clear" w:color="auto" w:fill="auto"/>
            <w:vAlign w:val="center"/>
          </w:tcPr>
          <w:p w14:paraId="313A697B" w14:textId="274E0AEC" w:rsidR="00093CA9" w:rsidRDefault="001608AD" w:rsidP="00093CA9">
            <w:r w:rsidRPr="001608AD">
              <w:t>EBA Guidelines on the management of ESG risks </w:t>
            </w:r>
          </w:p>
        </w:tc>
      </w:tr>
      <w:tr w:rsidR="00093CA9" w14:paraId="67500B24" w14:textId="77777777" w:rsidTr="00DC2543">
        <w:trPr>
          <w:trHeight w:val="1021"/>
        </w:trPr>
        <w:tc>
          <w:tcPr>
            <w:tcW w:w="955" w:type="dxa"/>
            <w:vAlign w:val="center"/>
          </w:tcPr>
          <w:p w14:paraId="3672EC28" w14:textId="77777777" w:rsidR="00093CA9" w:rsidRPr="00BA1D39" w:rsidRDefault="00093CA9" w:rsidP="00093CA9">
            <w:pPr>
              <w:rPr>
                <w:b/>
                <w:bCs/>
              </w:rPr>
            </w:pPr>
            <w:r w:rsidRPr="00BA1D39">
              <w:rPr>
                <w:b/>
                <w:bCs/>
              </w:rPr>
              <w:t>4</w:t>
            </w:r>
          </w:p>
        </w:tc>
        <w:tc>
          <w:tcPr>
            <w:tcW w:w="9501"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DC2543">
        <w:trPr>
          <w:trHeight w:val="1021"/>
        </w:trPr>
        <w:tc>
          <w:tcPr>
            <w:tcW w:w="955" w:type="dxa"/>
            <w:shd w:val="clear" w:color="auto" w:fill="auto"/>
            <w:vAlign w:val="center"/>
          </w:tcPr>
          <w:p w14:paraId="04C859A5" w14:textId="77777777" w:rsidR="00093CA9" w:rsidRDefault="00093CA9" w:rsidP="00093CA9"/>
        </w:tc>
        <w:tc>
          <w:tcPr>
            <w:tcW w:w="9501" w:type="dxa"/>
            <w:gridSpan w:val="4"/>
            <w:shd w:val="clear" w:color="auto" w:fill="auto"/>
            <w:vAlign w:val="center"/>
          </w:tcPr>
          <w:p w14:paraId="1523C232" w14:textId="1FECE9C7" w:rsidR="00093CA9" w:rsidRDefault="00644AD4" w:rsidP="00093CA9">
            <w:hyperlink r:id="rId17" w:history="1">
              <w:r w:rsidRPr="00E10385">
                <w:rPr>
                  <w:rStyle w:val="Hyperlink"/>
                </w:rPr>
                <w:t>https://web.archive.org/web/20250630153230/https://www.eba.europa.eu/sites/default/files/2025-01/fb22982a-d69d-42cc-9d62-1023497ad58a/Final%20Guidelines%20on%20the%20management%20of%20ESG%20risks.pdf</w:t>
              </w:r>
            </w:hyperlink>
            <w:r>
              <w:t xml:space="preserve"> </w:t>
            </w:r>
          </w:p>
        </w:tc>
      </w:tr>
      <w:tr w:rsidR="00093CA9" w:rsidRPr="005A2023" w14:paraId="1EA0B43C" w14:textId="77777777" w:rsidTr="00DC2543">
        <w:trPr>
          <w:trHeight w:val="1160"/>
        </w:trPr>
        <w:tc>
          <w:tcPr>
            <w:tcW w:w="955" w:type="dxa"/>
            <w:vAlign w:val="center"/>
          </w:tcPr>
          <w:p w14:paraId="2F72F437" w14:textId="77777777" w:rsidR="00093CA9" w:rsidRPr="00BA1D39" w:rsidRDefault="00093CA9" w:rsidP="00093CA9">
            <w:pPr>
              <w:rPr>
                <w:b/>
                <w:bCs/>
              </w:rPr>
            </w:pPr>
            <w:r w:rsidRPr="00BA1D39">
              <w:rPr>
                <w:b/>
                <w:bCs/>
              </w:rPr>
              <w:t>5</w:t>
            </w:r>
          </w:p>
        </w:tc>
        <w:tc>
          <w:tcPr>
            <w:tcW w:w="9501"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DC2543">
        <w:trPr>
          <w:trHeight w:val="533"/>
        </w:trPr>
        <w:tc>
          <w:tcPr>
            <w:tcW w:w="955"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5230"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271" w:type="dxa"/>
            <w:gridSpan w:val="3"/>
            <w:shd w:val="clear" w:color="auto" w:fill="auto"/>
            <w:vAlign w:val="center"/>
          </w:tcPr>
          <w:p w14:paraId="4E49657F" w14:textId="37C98B62" w:rsidR="00093CA9" w:rsidRDefault="00093CA9" w:rsidP="00093CA9"/>
        </w:tc>
      </w:tr>
      <w:tr w:rsidR="00093CA9" w14:paraId="401C58A8" w14:textId="77777777" w:rsidTr="00DC2543">
        <w:trPr>
          <w:trHeight w:val="533"/>
        </w:trPr>
        <w:tc>
          <w:tcPr>
            <w:tcW w:w="955"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5230"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271" w:type="dxa"/>
            <w:gridSpan w:val="3"/>
            <w:shd w:val="clear" w:color="auto" w:fill="auto"/>
            <w:vAlign w:val="center"/>
          </w:tcPr>
          <w:p w14:paraId="14F96ECD" w14:textId="77777777" w:rsidR="00093CA9" w:rsidRDefault="00093CA9" w:rsidP="00093CA9"/>
        </w:tc>
      </w:tr>
      <w:tr w:rsidR="00093CA9" w14:paraId="2CE0B955" w14:textId="77777777" w:rsidTr="00DC2543">
        <w:trPr>
          <w:trHeight w:val="533"/>
        </w:trPr>
        <w:tc>
          <w:tcPr>
            <w:tcW w:w="955"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5230"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271" w:type="dxa"/>
            <w:gridSpan w:val="3"/>
            <w:shd w:val="clear" w:color="auto" w:fill="auto"/>
            <w:vAlign w:val="center"/>
          </w:tcPr>
          <w:p w14:paraId="49932434" w14:textId="0F70BC81" w:rsidR="00093CA9" w:rsidRDefault="00093CA9" w:rsidP="00093CA9"/>
        </w:tc>
      </w:tr>
      <w:tr w:rsidR="00093CA9" w14:paraId="60051751" w14:textId="77777777" w:rsidTr="00DC2543">
        <w:trPr>
          <w:trHeight w:val="533"/>
        </w:trPr>
        <w:tc>
          <w:tcPr>
            <w:tcW w:w="955"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5230"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271" w:type="dxa"/>
            <w:gridSpan w:val="3"/>
            <w:shd w:val="clear" w:color="auto" w:fill="auto"/>
            <w:vAlign w:val="center"/>
          </w:tcPr>
          <w:p w14:paraId="676670DF" w14:textId="225D4869" w:rsidR="00093CA9" w:rsidRDefault="00093CA9" w:rsidP="00093CA9"/>
        </w:tc>
      </w:tr>
      <w:tr w:rsidR="00093CA9" w14:paraId="6426E869" w14:textId="77777777" w:rsidTr="00DC2543">
        <w:trPr>
          <w:trHeight w:val="533"/>
        </w:trPr>
        <w:tc>
          <w:tcPr>
            <w:tcW w:w="955"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5230"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271" w:type="dxa"/>
            <w:gridSpan w:val="3"/>
            <w:shd w:val="clear" w:color="auto" w:fill="auto"/>
            <w:vAlign w:val="center"/>
          </w:tcPr>
          <w:p w14:paraId="0A5E7122" w14:textId="7805BEAC" w:rsidR="00093CA9" w:rsidRDefault="001608AD" w:rsidP="00093CA9">
            <w:r>
              <w:t>X</w:t>
            </w:r>
          </w:p>
        </w:tc>
      </w:tr>
      <w:tr w:rsidR="00093CA9" w14:paraId="4C779C87" w14:textId="77777777" w:rsidTr="00DC2543">
        <w:trPr>
          <w:trHeight w:val="533"/>
        </w:trPr>
        <w:tc>
          <w:tcPr>
            <w:tcW w:w="955"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5230"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271" w:type="dxa"/>
            <w:gridSpan w:val="3"/>
            <w:shd w:val="clear" w:color="auto" w:fill="auto"/>
            <w:vAlign w:val="center"/>
          </w:tcPr>
          <w:p w14:paraId="791241EA" w14:textId="77777777" w:rsidR="00093CA9" w:rsidRDefault="00093CA9" w:rsidP="00093CA9"/>
        </w:tc>
      </w:tr>
      <w:tr w:rsidR="00093CA9" w14:paraId="73270E71" w14:textId="77777777" w:rsidTr="00DC2543">
        <w:trPr>
          <w:trHeight w:val="2330"/>
        </w:trPr>
        <w:tc>
          <w:tcPr>
            <w:tcW w:w="955" w:type="dxa"/>
            <w:vAlign w:val="center"/>
          </w:tcPr>
          <w:p w14:paraId="23BCBDE3" w14:textId="77777777" w:rsidR="00093CA9" w:rsidRPr="00BA1D39" w:rsidRDefault="00093CA9" w:rsidP="00093CA9">
            <w:pPr>
              <w:rPr>
                <w:b/>
                <w:bCs/>
              </w:rPr>
            </w:pPr>
            <w:r w:rsidRPr="00BA1D39">
              <w:rPr>
                <w:b/>
                <w:bCs/>
              </w:rPr>
              <w:lastRenderedPageBreak/>
              <w:t>6</w:t>
            </w:r>
          </w:p>
        </w:tc>
        <w:tc>
          <w:tcPr>
            <w:tcW w:w="9501"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00DC2543">
        <w:trPr>
          <w:trHeight w:val="533"/>
        </w:trPr>
        <w:tc>
          <w:tcPr>
            <w:tcW w:w="955" w:type="dxa"/>
            <w:shd w:val="clear" w:color="auto" w:fill="auto"/>
            <w:vAlign w:val="center"/>
          </w:tcPr>
          <w:p w14:paraId="3C6209F9" w14:textId="77777777" w:rsidR="00093CA9" w:rsidRDefault="00093CA9" w:rsidP="00093CA9"/>
        </w:tc>
        <w:tc>
          <w:tcPr>
            <w:tcW w:w="9501" w:type="dxa"/>
            <w:gridSpan w:val="4"/>
            <w:shd w:val="clear" w:color="auto" w:fill="auto"/>
            <w:vAlign w:val="center"/>
          </w:tcPr>
          <w:p w14:paraId="18257824" w14:textId="47008F17" w:rsidR="00093CA9" w:rsidRDefault="00644AD4" w:rsidP="00093CA9">
            <w:r w:rsidRPr="00771C53">
              <w:rPr>
                <w:rFonts w:eastAsia="Times New Roman" w:cstheme="minorHAnsi"/>
                <w:lang w:eastAsia="en-GB"/>
              </w:rPr>
              <w:t xml:space="preserve">This policy tool </w:t>
            </w:r>
            <w:r w:rsidRPr="00872860">
              <w:rPr>
                <w:rFonts w:eastAsia="Times New Roman" w:cstheme="minorHAnsi"/>
                <w:lang w:eastAsia="en-GB"/>
              </w:rPr>
              <w:t xml:space="preserve">fulfils the mandate </w:t>
            </w:r>
            <w:r>
              <w:rPr>
                <w:rFonts w:eastAsia="Times New Roman" w:cstheme="minorHAnsi"/>
                <w:lang w:eastAsia="en-GB"/>
              </w:rPr>
              <w:t>of</w:t>
            </w:r>
            <w:r w:rsidRPr="00872860">
              <w:rPr>
                <w:rFonts w:eastAsia="Times New Roman" w:cstheme="minorHAnsi"/>
                <w:lang w:eastAsia="en-GB"/>
              </w:rPr>
              <w:t xml:space="preserve"> Article 87a(5) of Directive 2013/36/EU</w:t>
            </w:r>
            <w:r>
              <w:rPr>
                <w:rFonts w:eastAsia="Times New Roman" w:cstheme="minorHAnsi"/>
                <w:lang w:eastAsia="en-GB"/>
              </w:rPr>
              <w:t xml:space="preserve">, requiring the European Banking Authority to issue guidelines on minimum standards and methodologies for </w:t>
            </w:r>
            <w:r w:rsidRPr="00771C53">
              <w:rPr>
                <w:rFonts w:eastAsia="Times New Roman" w:cstheme="minorHAnsi"/>
                <w:lang w:eastAsia="en-GB"/>
              </w:rPr>
              <w:t xml:space="preserve">the identification, measurement, management, and monitoring of ESG risks by </w:t>
            </w:r>
            <w:r>
              <w:rPr>
                <w:rFonts w:eastAsia="Times New Roman" w:cstheme="minorHAnsi"/>
                <w:lang w:eastAsia="en-GB"/>
              </w:rPr>
              <w:t>financial</w:t>
            </w:r>
            <w:r w:rsidRPr="00771C53">
              <w:rPr>
                <w:rFonts w:eastAsia="Times New Roman" w:cstheme="minorHAnsi"/>
                <w:lang w:eastAsia="en-GB"/>
              </w:rPr>
              <w:t xml:space="preserve"> institutions</w:t>
            </w:r>
            <w:r>
              <w:rPr>
                <w:rFonts w:eastAsia="Times New Roman" w:cstheme="minorHAnsi"/>
                <w:lang w:eastAsia="en-GB"/>
              </w:rPr>
              <w:t>. The aim is to ensure the resilience of institutions’ business models and risk profiles in the short, medium and long term.</w:t>
            </w:r>
          </w:p>
        </w:tc>
      </w:tr>
      <w:tr w:rsidR="00093CA9" w14:paraId="2451E529" w14:textId="77777777" w:rsidTr="00DC2543">
        <w:trPr>
          <w:trHeight w:val="899"/>
        </w:trPr>
        <w:tc>
          <w:tcPr>
            <w:tcW w:w="955" w:type="dxa"/>
            <w:vAlign w:val="center"/>
          </w:tcPr>
          <w:p w14:paraId="488CDAA5" w14:textId="77777777" w:rsidR="00093CA9" w:rsidRPr="00BA1D39" w:rsidRDefault="00093CA9" w:rsidP="00093CA9">
            <w:pPr>
              <w:rPr>
                <w:b/>
                <w:bCs/>
              </w:rPr>
            </w:pPr>
            <w:r w:rsidRPr="00BA1D39">
              <w:rPr>
                <w:b/>
                <w:bCs/>
              </w:rPr>
              <w:t>7</w:t>
            </w:r>
          </w:p>
        </w:tc>
        <w:tc>
          <w:tcPr>
            <w:tcW w:w="9501"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DC2543">
        <w:trPr>
          <w:trHeight w:val="300"/>
        </w:trPr>
        <w:tc>
          <w:tcPr>
            <w:tcW w:w="955" w:type="dxa"/>
            <w:vAlign w:val="center"/>
          </w:tcPr>
          <w:p w14:paraId="74D10F36" w14:textId="77777777" w:rsidR="00093CA9" w:rsidRDefault="00093CA9" w:rsidP="00093CA9">
            <w:r>
              <w:t>7.1</w:t>
            </w:r>
          </w:p>
        </w:tc>
        <w:tc>
          <w:tcPr>
            <w:tcW w:w="5398" w:type="dxa"/>
            <w:gridSpan w:val="2"/>
            <w:shd w:val="clear" w:color="auto" w:fill="E2EFD9" w:themeFill="accent6" w:themeFillTint="33"/>
            <w:vAlign w:val="center"/>
          </w:tcPr>
          <w:p w14:paraId="13418919" w14:textId="77777777" w:rsidR="00093CA9" w:rsidRDefault="00093CA9" w:rsidP="00093CA9">
            <w:r>
              <w:t>Approved, in force</w:t>
            </w:r>
          </w:p>
        </w:tc>
        <w:tc>
          <w:tcPr>
            <w:tcW w:w="4103" w:type="dxa"/>
            <w:gridSpan w:val="2"/>
            <w:shd w:val="clear" w:color="auto" w:fill="auto"/>
            <w:vAlign w:val="center"/>
          </w:tcPr>
          <w:p w14:paraId="54354EEF" w14:textId="77777777" w:rsidR="00093CA9" w:rsidRDefault="00093CA9" w:rsidP="00093CA9"/>
        </w:tc>
      </w:tr>
      <w:tr w:rsidR="00093CA9" w14:paraId="3640F334" w14:textId="77777777" w:rsidTr="00DC2543">
        <w:trPr>
          <w:trHeight w:val="300"/>
        </w:trPr>
        <w:tc>
          <w:tcPr>
            <w:tcW w:w="955" w:type="dxa"/>
            <w:vAlign w:val="center"/>
          </w:tcPr>
          <w:p w14:paraId="6223CD09" w14:textId="77777777" w:rsidR="00093CA9" w:rsidRDefault="00093CA9" w:rsidP="00093CA9">
            <w:r>
              <w:t>7.2</w:t>
            </w:r>
          </w:p>
        </w:tc>
        <w:tc>
          <w:tcPr>
            <w:tcW w:w="5398" w:type="dxa"/>
            <w:gridSpan w:val="2"/>
            <w:shd w:val="clear" w:color="auto" w:fill="E2EFD9" w:themeFill="accent6" w:themeFillTint="33"/>
            <w:vAlign w:val="center"/>
          </w:tcPr>
          <w:p w14:paraId="127DC8A9" w14:textId="77777777" w:rsidR="00093CA9" w:rsidRDefault="00093CA9" w:rsidP="00093CA9">
            <w:r>
              <w:t>Approved, not yet in force</w:t>
            </w:r>
          </w:p>
        </w:tc>
        <w:tc>
          <w:tcPr>
            <w:tcW w:w="4103" w:type="dxa"/>
            <w:gridSpan w:val="2"/>
            <w:shd w:val="clear" w:color="auto" w:fill="auto"/>
            <w:vAlign w:val="center"/>
          </w:tcPr>
          <w:p w14:paraId="7E87AE91" w14:textId="4E870DFE" w:rsidR="00093CA9" w:rsidRDefault="00644AD4" w:rsidP="00093CA9">
            <w:r>
              <w:t>X</w:t>
            </w:r>
          </w:p>
        </w:tc>
      </w:tr>
      <w:tr w:rsidR="003D6DA5" w14:paraId="2F19D0AC" w14:textId="77777777" w:rsidTr="00DC2543">
        <w:trPr>
          <w:trHeight w:val="300"/>
        </w:trPr>
        <w:tc>
          <w:tcPr>
            <w:tcW w:w="955" w:type="dxa"/>
            <w:vAlign w:val="center"/>
          </w:tcPr>
          <w:p w14:paraId="0D61962A" w14:textId="0DBA428C" w:rsidR="003D6DA5" w:rsidRDefault="002B255F">
            <w:r>
              <w:t>7.3</w:t>
            </w:r>
          </w:p>
        </w:tc>
        <w:tc>
          <w:tcPr>
            <w:tcW w:w="5398" w:type="dxa"/>
            <w:gridSpan w:val="2"/>
            <w:shd w:val="clear" w:color="auto" w:fill="E2EFD9" w:themeFill="accent6" w:themeFillTint="33"/>
            <w:vAlign w:val="center"/>
          </w:tcPr>
          <w:p w14:paraId="73CA863F" w14:textId="1D7146CE" w:rsidR="003D6DA5" w:rsidRDefault="00811FC6">
            <w:r>
              <w:t>Repealed</w:t>
            </w:r>
          </w:p>
        </w:tc>
        <w:tc>
          <w:tcPr>
            <w:tcW w:w="4103" w:type="dxa"/>
            <w:gridSpan w:val="2"/>
            <w:shd w:val="clear" w:color="auto" w:fill="auto"/>
            <w:vAlign w:val="center"/>
          </w:tcPr>
          <w:p w14:paraId="3B8D198C" w14:textId="77777777" w:rsidR="003D6DA5" w:rsidRDefault="003D6DA5"/>
        </w:tc>
      </w:tr>
      <w:tr w:rsidR="002B255F" w14:paraId="32FE17F8" w14:textId="77777777" w:rsidTr="00DC2543">
        <w:trPr>
          <w:trHeight w:val="300"/>
        </w:trPr>
        <w:tc>
          <w:tcPr>
            <w:tcW w:w="955" w:type="dxa"/>
            <w:vAlign w:val="center"/>
          </w:tcPr>
          <w:p w14:paraId="6015BD7E" w14:textId="0D17B66E" w:rsidR="002B255F" w:rsidRDefault="002B255F">
            <w:r>
              <w:t>7.4</w:t>
            </w:r>
          </w:p>
        </w:tc>
        <w:tc>
          <w:tcPr>
            <w:tcW w:w="5398" w:type="dxa"/>
            <w:gridSpan w:val="2"/>
            <w:shd w:val="clear" w:color="auto" w:fill="E2EFD9" w:themeFill="accent6" w:themeFillTint="33"/>
            <w:vAlign w:val="center"/>
          </w:tcPr>
          <w:p w14:paraId="3D137E17" w14:textId="48511DAB" w:rsidR="002B255F" w:rsidRDefault="00811FC6">
            <w:r>
              <w:t>Superseded</w:t>
            </w:r>
          </w:p>
        </w:tc>
        <w:tc>
          <w:tcPr>
            <w:tcW w:w="4103" w:type="dxa"/>
            <w:gridSpan w:val="2"/>
            <w:shd w:val="clear" w:color="auto" w:fill="auto"/>
            <w:vAlign w:val="center"/>
          </w:tcPr>
          <w:p w14:paraId="2FD900BD" w14:textId="77777777" w:rsidR="002B255F" w:rsidRDefault="002B255F"/>
        </w:tc>
      </w:tr>
      <w:tr w:rsidR="003D6DA5" w14:paraId="1E09AAC3" w14:textId="77777777" w:rsidTr="00DC2543">
        <w:trPr>
          <w:trHeight w:val="300"/>
        </w:trPr>
        <w:tc>
          <w:tcPr>
            <w:tcW w:w="955" w:type="dxa"/>
            <w:vAlign w:val="center"/>
          </w:tcPr>
          <w:p w14:paraId="39C2428C" w14:textId="552B9ECE" w:rsidR="003D6DA5" w:rsidRDefault="002B255F" w:rsidP="00093CA9">
            <w:r>
              <w:t>7.5</w:t>
            </w:r>
          </w:p>
        </w:tc>
        <w:tc>
          <w:tcPr>
            <w:tcW w:w="5398" w:type="dxa"/>
            <w:gridSpan w:val="2"/>
            <w:shd w:val="clear" w:color="auto" w:fill="E2EFD9" w:themeFill="accent6" w:themeFillTint="33"/>
            <w:vAlign w:val="center"/>
          </w:tcPr>
          <w:p w14:paraId="6C7FD6CA" w14:textId="3191E7F3" w:rsidR="003D6DA5" w:rsidRDefault="00811FC6" w:rsidP="00093CA9">
            <w:r>
              <w:t>Retired</w:t>
            </w:r>
          </w:p>
        </w:tc>
        <w:tc>
          <w:tcPr>
            <w:tcW w:w="4103" w:type="dxa"/>
            <w:gridSpan w:val="2"/>
            <w:shd w:val="clear" w:color="auto" w:fill="auto"/>
            <w:vAlign w:val="center"/>
          </w:tcPr>
          <w:p w14:paraId="7F5FECBA" w14:textId="77777777" w:rsidR="003D6DA5" w:rsidRDefault="003D6DA5" w:rsidP="00093CA9"/>
        </w:tc>
      </w:tr>
      <w:tr w:rsidR="00093CA9" w14:paraId="7E5D91D3" w14:textId="77777777" w:rsidTr="00DC2543">
        <w:trPr>
          <w:trHeight w:val="300"/>
        </w:trPr>
        <w:tc>
          <w:tcPr>
            <w:tcW w:w="955" w:type="dxa"/>
            <w:vAlign w:val="center"/>
          </w:tcPr>
          <w:p w14:paraId="74BED566" w14:textId="278358E9" w:rsidR="00093CA9" w:rsidRDefault="00093CA9" w:rsidP="00093CA9">
            <w:r>
              <w:t>7.</w:t>
            </w:r>
            <w:r w:rsidR="00B6777F">
              <w:t>6</w:t>
            </w:r>
          </w:p>
        </w:tc>
        <w:tc>
          <w:tcPr>
            <w:tcW w:w="5398" w:type="dxa"/>
            <w:gridSpan w:val="2"/>
            <w:shd w:val="clear" w:color="auto" w:fill="E2EFD9" w:themeFill="accent6" w:themeFillTint="33"/>
            <w:vAlign w:val="center"/>
          </w:tcPr>
          <w:p w14:paraId="580D9D25" w14:textId="77777777" w:rsidR="00093CA9" w:rsidRDefault="00093CA9" w:rsidP="00093CA9">
            <w:r>
              <w:t>Other</w:t>
            </w:r>
          </w:p>
        </w:tc>
        <w:tc>
          <w:tcPr>
            <w:tcW w:w="4103" w:type="dxa"/>
            <w:gridSpan w:val="2"/>
            <w:shd w:val="clear" w:color="auto" w:fill="auto"/>
            <w:vAlign w:val="center"/>
          </w:tcPr>
          <w:p w14:paraId="1D526E48" w14:textId="1B0B4271" w:rsidR="00093CA9" w:rsidRDefault="00093CA9" w:rsidP="00093CA9"/>
        </w:tc>
      </w:tr>
      <w:tr w:rsidR="00093CA9" w14:paraId="68022F59" w14:textId="77777777" w:rsidTr="00DC2543">
        <w:trPr>
          <w:trHeight w:val="948"/>
        </w:trPr>
        <w:tc>
          <w:tcPr>
            <w:tcW w:w="955" w:type="dxa"/>
            <w:vAlign w:val="center"/>
          </w:tcPr>
          <w:p w14:paraId="66B04B67" w14:textId="77777777" w:rsidR="00093CA9" w:rsidRPr="00BA1D39" w:rsidRDefault="00093CA9" w:rsidP="00093CA9">
            <w:pPr>
              <w:rPr>
                <w:b/>
                <w:bCs/>
              </w:rPr>
            </w:pPr>
            <w:r w:rsidRPr="00BA1D39">
              <w:rPr>
                <w:b/>
                <w:bCs/>
              </w:rPr>
              <w:t>8</w:t>
            </w:r>
          </w:p>
        </w:tc>
        <w:tc>
          <w:tcPr>
            <w:tcW w:w="9501"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DC2543">
        <w:trPr>
          <w:trHeight w:val="533"/>
        </w:trPr>
        <w:tc>
          <w:tcPr>
            <w:tcW w:w="955" w:type="dxa"/>
            <w:shd w:val="clear" w:color="auto" w:fill="auto"/>
            <w:vAlign w:val="center"/>
          </w:tcPr>
          <w:p w14:paraId="36DF578D" w14:textId="77777777" w:rsidR="00093CA9" w:rsidRDefault="00093CA9" w:rsidP="00093CA9"/>
        </w:tc>
        <w:tc>
          <w:tcPr>
            <w:tcW w:w="9501" w:type="dxa"/>
            <w:gridSpan w:val="4"/>
            <w:shd w:val="clear" w:color="auto" w:fill="auto"/>
            <w:vAlign w:val="center"/>
          </w:tcPr>
          <w:p w14:paraId="312E9D7B" w14:textId="77777777" w:rsidR="00093CA9" w:rsidRDefault="00093CA9" w:rsidP="00093CA9"/>
        </w:tc>
      </w:tr>
      <w:tr w:rsidR="00093CA9" w14:paraId="5FF08B4A" w14:textId="77777777" w:rsidTr="00DC2543">
        <w:trPr>
          <w:trHeight w:val="562"/>
        </w:trPr>
        <w:tc>
          <w:tcPr>
            <w:tcW w:w="955"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501"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DC2543">
        <w:trPr>
          <w:trHeight w:val="533"/>
        </w:trPr>
        <w:tc>
          <w:tcPr>
            <w:tcW w:w="955" w:type="dxa"/>
            <w:vAlign w:val="center"/>
          </w:tcPr>
          <w:p w14:paraId="2A1C818E" w14:textId="77777777" w:rsidR="00093CA9" w:rsidRPr="00173D7C" w:rsidRDefault="00093CA9" w:rsidP="00093CA9">
            <w:pPr>
              <w:rPr>
                <w:color w:val="000000" w:themeColor="text1"/>
              </w:rPr>
            </w:pPr>
          </w:p>
        </w:tc>
        <w:tc>
          <w:tcPr>
            <w:tcW w:w="9501" w:type="dxa"/>
            <w:gridSpan w:val="4"/>
            <w:shd w:val="clear" w:color="auto" w:fill="auto"/>
            <w:vAlign w:val="center"/>
          </w:tcPr>
          <w:p w14:paraId="22A2FF1A" w14:textId="624BFC41" w:rsidR="00093CA9" w:rsidRPr="00173D7C" w:rsidRDefault="00644AD4" w:rsidP="00093CA9">
            <w:pPr>
              <w:rPr>
                <w:color w:val="000000" w:themeColor="text1"/>
              </w:rPr>
            </w:pPr>
            <w:r>
              <w:rPr>
                <w:color w:val="000000" w:themeColor="text1"/>
              </w:rPr>
              <w:t>2025</w:t>
            </w:r>
          </w:p>
        </w:tc>
      </w:tr>
      <w:tr w:rsidR="00093CA9" w14:paraId="738B7301" w14:textId="77777777" w:rsidTr="00DC2543">
        <w:trPr>
          <w:trHeight w:val="539"/>
        </w:trPr>
        <w:tc>
          <w:tcPr>
            <w:tcW w:w="955"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501"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DC2543">
        <w:trPr>
          <w:trHeight w:val="533"/>
        </w:trPr>
        <w:tc>
          <w:tcPr>
            <w:tcW w:w="955" w:type="dxa"/>
            <w:vAlign w:val="center"/>
          </w:tcPr>
          <w:p w14:paraId="47C7E613" w14:textId="77777777" w:rsidR="00093CA9" w:rsidRPr="00173D7C" w:rsidRDefault="00093CA9" w:rsidP="00093CA9">
            <w:pPr>
              <w:rPr>
                <w:color w:val="000000" w:themeColor="text1"/>
              </w:rPr>
            </w:pPr>
          </w:p>
        </w:tc>
        <w:tc>
          <w:tcPr>
            <w:tcW w:w="9501" w:type="dxa"/>
            <w:gridSpan w:val="4"/>
            <w:shd w:val="clear" w:color="auto" w:fill="auto"/>
            <w:vAlign w:val="center"/>
          </w:tcPr>
          <w:p w14:paraId="5AD2325B" w14:textId="747ACCCE" w:rsidR="00093CA9" w:rsidRPr="00173D7C" w:rsidRDefault="00644AD4" w:rsidP="00093CA9">
            <w:pPr>
              <w:rPr>
                <w:color w:val="000000" w:themeColor="text1"/>
              </w:rPr>
            </w:pPr>
            <w:r>
              <w:rPr>
                <w:color w:val="000000" w:themeColor="text1"/>
              </w:rPr>
              <w:t>2026 and 2027</w:t>
            </w:r>
          </w:p>
        </w:tc>
      </w:tr>
      <w:tr w:rsidR="00093CA9" w14:paraId="2C2614F8" w14:textId="77777777" w:rsidTr="00DC2543">
        <w:trPr>
          <w:trHeight w:val="77"/>
        </w:trPr>
        <w:tc>
          <w:tcPr>
            <w:tcW w:w="955"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501"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DC2543">
        <w:trPr>
          <w:trHeight w:val="533"/>
        </w:trPr>
        <w:tc>
          <w:tcPr>
            <w:tcW w:w="955" w:type="dxa"/>
            <w:vAlign w:val="center"/>
          </w:tcPr>
          <w:p w14:paraId="4BFF3EDE" w14:textId="77777777" w:rsidR="00093CA9" w:rsidRPr="007419BF" w:rsidRDefault="00093CA9" w:rsidP="00093CA9">
            <w:pPr>
              <w:rPr>
                <w:color w:val="000000" w:themeColor="text1"/>
              </w:rPr>
            </w:pPr>
          </w:p>
        </w:tc>
        <w:tc>
          <w:tcPr>
            <w:tcW w:w="9501" w:type="dxa"/>
            <w:gridSpan w:val="4"/>
            <w:shd w:val="clear" w:color="auto" w:fill="auto"/>
            <w:vAlign w:val="center"/>
          </w:tcPr>
          <w:p w14:paraId="1A1B9D26" w14:textId="49943B96" w:rsidR="00093CA9" w:rsidRPr="00644AD4" w:rsidRDefault="00644AD4" w:rsidP="00644AD4">
            <w:r>
              <w:t xml:space="preserve">The guidelines will apply from 11 January 2026 except for small and non-complex institutions, for which the guidelines will apply at the latest from 11 January 2027.  </w:t>
            </w:r>
          </w:p>
        </w:tc>
      </w:tr>
      <w:tr w:rsidR="00093CA9" w14:paraId="0CA17197" w14:textId="77777777" w:rsidTr="00DC2543">
        <w:trPr>
          <w:trHeight w:val="596"/>
        </w:trPr>
        <w:tc>
          <w:tcPr>
            <w:tcW w:w="955"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501"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DC2543">
        <w:trPr>
          <w:trHeight w:val="533"/>
        </w:trPr>
        <w:tc>
          <w:tcPr>
            <w:tcW w:w="955" w:type="dxa"/>
            <w:vAlign w:val="center"/>
          </w:tcPr>
          <w:p w14:paraId="288F6BE6" w14:textId="77777777" w:rsidR="00093CA9" w:rsidRPr="00587FAE" w:rsidRDefault="00093CA9" w:rsidP="00093CA9">
            <w:pPr>
              <w:rPr>
                <w:color w:val="000000" w:themeColor="text1"/>
              </w:rPr>
            </w:pPr>
          </w:p>
        </w:tc>
        <w:tc>
          <w:tcPr>
            <w:tcW w:w="9501"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DC2543">
        <w:tc>
          <w:tcPr>
            <w:tcW w:w="955" w:type="dxa"/>
            <w:vAlign w:val="center"/>
          </w:tcPr>
          <w:p w14:paraId="2B1BB6DA" w14:textId="77777777" w:rsidR="00093CA9" w:rsidRPr="00BA1D39" w:rsidRDefault="00093CA9" w:rsidP="00093CA9">
            <w:pPr>
              <w:rPr>
                <w:b/>
                <w:bCs/>
              </w:rPr>
            </w:pPr>
            <w:r w:rsidRPr="00BA1D39">
              <w:rPr>
                <w:b/>
                <w:bCs/>
              </w:rPr>
              <w:lastRenderedPageBreak/>
              <w:t>13</w:t>
            </w:r>
          </w:p>
        </w:tc>
        <w:tc>
          <w:tcPr>
            <w:tcW w:w="9501"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DC2543">
        <w:trPr>
          <w:trHeight w:val="533"/>
        </w:trPr>
        <w:tc>
          <w:tcPr>
            <w:tcW w:w="955" w:type="dxa"/>
            <w:vAlign w:val="center"/>
          </w:tcPr>
          <w:p w14:paraId="770E445F" w14:textId="77777777" w:rsidR="00093CA9" w:rsidRPr="00BA1D39" w:rsidRDefault="00093CA9" w:rsidP="00093CA9">
            <w:pPr>
              <w:rPr>
                <w:b/>
                <w:bCs/>
              </w:rPr>
            </w:pPr>
          </w:p>
        </w:tc>
        <w:tc>
          <w:tcPr>
            <w:tcW w:w="9501" w:type="dxa"/>
            <w:gridSpan w:val="4"/>
            <w:shd w:val="clear" w:color="auto" w:fill="auto"/>
            <w:vAlign w:val="center"/>
          </w:tcPr>
          <w:p w14:paraId="7961F236" w14:textId="525EDDBC" w:rsidR="00093CA9" w:rsidRDefault="00644AD4" w:rsidP="00093CA9">
            <w:r>
              <w:t>Independent regulatory body</w:t>
            </w:r>
          </w:p>
        </w:tc>
      </w:tr>
      <w:tr w:rsidR="00093CA9" w:rsidRPr="006B7B0D" w14:paraId="5375EB04" w14:textId="77777777" w:rsidTr="00DC2543">
        <w:tc>
          <w:tcPr>
            <w:tcW w:w="955" w:type="dxa"/>
            <w:vAlign w:val="center"/>
          </w:tcPr>
          <w:p w14:paraId="3B7DCD51" w14:textId="77777777" w:rsidR="00093CA9" w:rsidRPr="006B7B0D" w:rsidRDefault="00093CA9" w:rsidP="00093CA9">
            <w:pPr>
              <w:rPr>
                <w:b/>
                <w:bCs/>
              </w:rPr>
            </w:pPr>
            <w:r w:rsidRPr="006B7B0D">
              <w:rPr>
                <w:b/>
                <w:bCs/>
              </w:rPr>
              <w:t>14.1</w:t>
            </w:r>
          </w:p>
        </w:tc>
        <w:tc>
          <w:tcPr>
            <w:tcW w:w="9501"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DC2543">
        <w:trPr>
          <w:trHeight w:val="533"/>
        </w:trPr>
        <w:tc>
          <w:tcPr>
            <w:tcW w:w="955" w:type="dxa"/>
            <w:vAlign w:val="center"/>
          </w:tcPr>
          <w:p w14:paraId="6DC5D06B" w14:textId="77777777" w:rsidR="00093CA9" w:rsidRPr="006B7B0D" w:rsidRDefault="00093CA9" w:rsidP="00093CA9"/>
        </w:tc>
        <w:tc>
          <w:tcPr>
            <w:tcW w:w="9501" w:type="dxa"/>
            <w:gridSpan w:val="4"/>
            <w:vAlign w:val="center"/>
          </w:tcPr>
          <w:p w14:paraId="58D97C26" w14:textId="39B42A94" w:rsidR="00093CA9" w:rsidRPr="006B7B0D" w:rsidRDefault="00644AD4" w:rsidP="00093CA9">
            <w:r>
              <w:t>The European Banking Authority (“EBA”)</w:t>
            </w:r>
          </w:p>
        </w:tc>
      </w:tr>
      <w:tr w:rsidR="00093CA9" w:rsidRPr="006B7B0D" w14:paraId="2F387FFB" w14:textId="77777777" w:rsidTr="00DC2543">
        <w:trPr>
          <w:trHeight w:val="63"/>
        </w:trPr>
        <w:tc>
          <w:tcPr>
            <w:tcW w:w="955" w:type="dxa"/>
            <w:vAlign w:val="center"/>
          </w:tcPr>
          <w:p w14:paraId="0CB4F9DF" w14:textId="77777777" w:rsidR="00093CA9" w:rsidRPr="006B7B0D" w:rsidRDefault="00093CA9" w:rsidP="00093CA9">
            <w:r w:rsidRPr="006B7B0D">
              <w:t>14.1.1</w:t>
            </w:r>
          </w:p>
        </w:tc>
        <w:tc>
          <w:tcPr>
            <w:tcW w:w="9501"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DC2543">
        <w:trPr>
          <w:trHeight w:val="63"/>
        </w:trPr>
        <w:tc>
          <w:tcPr>
            <w:tcW w:w="955" w:type="dxa"/>
            <w:vAlign w:val="center"/>
          </w:tcPr>
          <w:p w14:paraId="25929514" w14:textId="77777777" w:rsidR="00093CA9" w:rsidRPr="006B7B0D" w:rsidRDefault="00093CA9" w:rsidP="00093CA9">
            <w:r w:rsidRPr="006B7B0D">
              <w:t>14.1.1.1</w:t>
            </w:r>
          </w:p>
        </w:tc>
        <w:tc>
          <w:tcPr>
            <w:tcW w:w="5490"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011" w:type="dxa"/>
            <w:shd w:val="clear" w:color="auto" w:fill="auto"/>
            <w:vAlign w:val="center"/>
          </w:tcPr>
          <w:p w14:paraId="2BF89CCD" w14:textId="77777777" w:rsidR="00093CA9" w:rsidRPr="006B7B0D" w:rsidRDefault="00093CA9" w:rsidP="00093CA9"/>
        </w:tc>
      </w:tr>
      <w:tr w:rsidR="00DC2543" w:rsidRPr="006B7B0D" w14:paraId="39BA7EDD" w14:textId="77777777" w:rsidTr="00DC2543">
        <w:trPr>
          <w:trHeight w:val="63"/>
        </w:trPr>
        <w:tc>
          <w:tcPr>
            <w:tcW w:w="955" w:type="dxa"/>
            <w:vAlign w:val="center"/>
          </w:tcPr>
          <w:p w14:paraId="6744F13E" w14:textId="77777777" w:rsidR="00DC2543" w:rsidRPr="006B7B0D" w:rsidRDefault="00DC2543" w:rsidP="00DC2543">
            <w:r w:rsidRPr="006B7B0D">
              <w:t>14.1.1.2</w:t>
            </w:r>
          </w:p>
        </w:tc>
        <w:tc>
          <w:tcPr>
            <w:tcW w:w="5490" w:type="dxa"/>
            <w:gridSpan w:val="3"/>
            <w:shd w:val="clear" w:color="auto" w:fill="E2EFD9" w:themeFill="accent6" w:themeFillTint="33"/>
            <w:vAlign w:val="center"/>
          </w:tcPr>
          <w:p w14:paraId="5AE7B4CF" w14:textId="77777777" w:rsidR="00DC2543" w:rsidRPr="006B7B0D" w:rsidRDefault="00DC2543" w:rsidP="00DC2543">
            <w:r w:rsidRPr="006B7B0D">
              <w:t>Low capacity</w:t>
            </w:r>
          </w:p>
        </w:tc>
        <w:tc>
          <w:tcPr>
            <w:tcW w:w="4011" w:type="dxa"/>
            <w:shd w:val="clear" w:color="auto" w:fill="auto"/>
            <w:vAlign w:val="center"/>
          </w:tcPr>
          <w:p w14:paraId="06104883" w14:textId="58B69CD7" w:rsidR="00DC2543" w:rsidRPr="006B7B0D" w:rsidRDefault="00DC2543" w:rsidP="00DC2543">
            <w:r>
              <w:t>X</w:t>
            </w:r>
          </w:p>
        </w:tc>
      </w:tr>
      <w:tr w:rsidR="00093CA9" w:rsidRPr="006B7B0D" w14:paraId="2B9A716F" w14:textId="77777777" w:rsidTr="00DC2543">
        <w:trPr>
          <w:trHeight w:val="63"/>
        </w:trPr>
        <w:tc>
          <w:tcPr>
            <w:tcW w:w="955" w:type="dxa"/>
            <w:vAlign w:val="center"/>
          </w:tcPr>
          <w:p w14:paraId="42A1C3BE" w14:textId="77777777" w:rsidR="00093CA9" w:rsidRPr="006B7B0D" w:rsidRDefault="00093CA9" w:rsidP="00093CA9">
            <w:r w:rsidRPr="006B7B0D">
              <w:t>14.1.1.3</w:t>
            </w:r>
          </w:p>
        </w:tc>
        <w:tc>
          <w:tcPr>
            <w:tcW w:w="5490"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011" w:type="dxa"/>
            <w:vAlign w:val="center"/>
          </w:tcPr>
          <w:p w14:paraId="58B179CC" w14:textId="3CF550E4" w:rsidR="00093CA9" w:rsidRPr="006B7B0D" w:rsidRDefault="00093CA9" w:rsidP="00093CA9"/>
        </w:tc>
      </w:tr>
      <w:tr w:rsidR="00093CA9" w:rsidRPr="006B7B0D" w14:paraId="68784F43" w14:textId="77777777" w:rsidTr="00DC2543">
        <w:trPr>
          <w:trHeight w:val="63"/>
        </w:trPr>
        <w:tc>
          <w:tcPr>
            <w:tcW w:w="955" w:type="dxa"/>
            <w:vAlign w:val="center"/>
          </w:tcPr>
          <w:p w14:paraId="5EFE7F7F" w14:textId="77777777" w:rsidR="00093CA9" w:rsidRPr="006B7B0D" w:rsidRDefault="00093CA9" w:rsidP="00093CA9">
            <w:r w:rsidRPr="006B7B0D">
              <w:t>14.1.1.4</w:t>
            </w:r>
          </w:p>
        </w:tc>
        <w:tc>
          <w:tcPr>
            <w:tcW w:w="5490"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011" w:type="dxa"/>
            <w:vAlign w:val="center"/>
          </w:tcPr>
          <w:p w14:paraId="6DCCE4F4" w14:textId="77777777" w:rsidR="00093CA9" w:rsidRPr="006B7B0D" w:rsidRDefault="00093CA9" w:rsidP="00093CA9"/>
        </w:tc>
      </w:tr>
      <w:tr w:rsidR="00093CA9" w:rsidRPr="006B7B0D" w14:paraId="06CA77C4" w14:textId="77777777" w:rsidTr="00DC2543">
        <w:trPr>
          <w:trHeight w:val="63"/>
        </w:trPr>
        <w:tc>
          <w:tcPr>
            <w:tcW w:w="955" w:type="dxa"/>
            <w:vAlign w:val="center"/>
          </w:tcPr>
          <w:p w14:paraId="6A85A976" w14:textId="77777777" w:rsidR="00093CA9" w:rsidRPr="006B7B0D" w:rsidRDefault="00093CA9" w:rsidP="00093CA9">
            <w:pPr>
              <w:rPr>
                <w:b/>
                <w:bCs/>
              </w:rPr>
            </w:pPr>
            <w:r w:rsidRPr="006B7B0D">
              <w:rPr>
                <w:b/>
                <w:bCs/>
              </w:rPr>
              <w:t>14.2</w:t>
            </w:r>
          </w:p>
        </w:tc>
        <w:tc>
          <w:tcPr>
            <w:tcW w:w="9501"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DC2543">
        <w:trPr>
          <w:trHeight w:val="533"/>
        </w:trPr>
        <w:tc>
          <w:tcPr>
            <w:tcW w:w="955" w:type="dxa"/>
            <w:vAlign w:val="center"/>
          </w:tcPr>
          <w:p w14:paraId="2061516D" w14:textId="77777777" w:rsidR="00093CA9" w:rsidRPr="006B7B0D" w:rsidRDefault="00093CA9" w:rsidP="00093CA9">
            <w:pPr>
              <w:rPr>
                <w:b/>
                <w:bCs/>
              </w:rPr>
            </w:pPr>
          </w:p>
        </w:tc>
        <w:tc>
          <w:tcPr>
            <w:tcW w:w="9501" w:type="dxa"/>
            <w:gridSpan w:val="4"/>
            <w:vAlign w:val="center"/>
          </w:tcPr>
          <w:p w14:paraId="507D976A" w14:textId="77777777" w:rsidR="00093CA9" w:rsidRPr="006B7B0D" w:rsidRDefault="00093CA9" w:rsidP="00093CA9"/>
        </w:tc>
      </w:tr>
      <w:tr w:rsidR="00093CA9" w:rsidRPr="006B7B0D" w14:paraId="6AB9B869" w14:textId="77777777" w:rsidTr="00DC2543">
        <w:trPr>
          <w:trHeight w:val="63"/>
        </w:trPr>
        <w:tc>
          <w:tcPr>
            <w:tcW w:w="955" w:type="dxa"/>
            <w:vAlign w:val="center"/>
          </w:tcPr>
          <w:p w14:paraId="50155A23" w14:textId="77777777" w:rsidR="00093CA9" w:rsidRPr="006B7B0D" w:rsidRDefault="00093CA9" w:rsidP="00093CA9">
            <w:r w:rsidRPr="006B7B0D">
              <w:t>14.2.1</w:t>
            </w:r>
          </w:p>
        </w:tc>
        <w:tc>
          <w:tcPr>
            <w:tcW w:w="9501"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DC2543">
        <w:trPr>
          <w:trHeight w:val="63"/>
        </w:trPr>
        <w:tc>
          <w:tcPr>
            <w:tcW w:w="955" w:type="dxa"/>
            <w:vAlign w:val="center"/>
          </w:tcPr>
          <w:p w14:paraId="71E485F5" w14:textId="77777777" w:rsidR="00093CA9" w:rsidRPr="006B7B0D" w:rsidRDefault="00093CA9" w:rsidP="00093CA9">
            <w:r w:rsidRPr="006B7B0D">
              <w:t>14.2.1.1</w:t>
            </w:r>
          </w:p>
        </w:tc>
        <w:tc>
          <w:tcPr>
            <w:tcW w:w="5490"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011" w:type="dxa"/>
            <w:shd w:val="clear" w:color="auto" w:fill="auto"/>
            <w:vAlign w:val="center"/>
          </w:tcPr>
          <w:p w14:paraId="3A6A50BF" w14:textId="77777777" w:rsidR="00093CA9" w:rsidRPr="006B7B0D" w:rsidRDefault="00093CA9" w:rsidP="00093CA9"/>
        </w:tc>
      </w:tr>
      <w:tr w:rsidR="00093CA9" w:rsidRPr="006B7B0D" w14:paraId="5D361E78" w14:textId="77777777" w:rsidTr="00DC2543">
        <w:trPr>
          <w:trHeight w:val="63"/>
        </w:trPr>
        <w:tc>
          <w:tcPr>
            <w:tcW w:w="955" w:type="dxa"/>
            <w:vAlign w:val="center"/>
          </w:tcPr>
          <w:p w14:paraId="2A9FB383" w14:textId="77777777" w:rsidR="00093CA9" w:rsidRPr="006B7B0D" w:rsidRDefault="00093CA9" w:rsidP="00093CA9">
            <w:r w:rsidRPr="006B7B0D">
              <w:lastRenderedPageBreak/>
              <w:t>14.2.1.2</w:t>
            </w:r>
          </w:p>
        </w:tc>
        <w:tc>
          <w:tcPr>
            <w:tcW w:w="5490"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011" w:type="dxa"/>
            <w:shd w:val="clear" w:color="auto" w:fill="auto"/>
            <w:vAlign w:val="center"/>
          </w:tcPr>
          <w:p w14:paraId="325AB748" w14:textId="77777777" w:rsidR="00093CA9" w:rsidRPr="006B7B0D" w:rsidRDefault="00093CA9" w:rsidP="00093CA9"/>
        </w:tc>
      </w:tr>
      <w:tr w:rsidR="00093CA9" w:rsidRPr="006B7B0D" w14:paraId="18F660AB" w14:textId="77777777" w:rsidTr="00DC2543">
        <w:trPr>
          <w:trHeight w:val="63"/>
        </w:trPr>
        <w:tc>
          <w:tcPr>
            <w:tcW w:w="955" w:type="dxa"/>
            <w:vAlign w:val="center"/>
          </w:tcPr>
          <w:p w14:paraId="003BCF38" w14:textId="77777777" w:rsidR="00093CA9" w:rsidRPr="006B7B0D" w:rsidRDefault="00093CA9" w:rsidP="00093CA9">
            <w:r w:rsidRPr="006B7B0D">
              <w:t>14.2.1.3</w:t>
            </w:r>
          </w:p>
        </w:tc>
        <w:tc>
          <w:tcPr>
            <w:tcW w:w="5490"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011" w:type="dxa"/>
            <w:shd w:val="clear" w:color="auto" w:fill="auto"/>
            <w:vAlign w:val="center"/>
          </w:tcPr>
          <w:p w14:paraId="5989DD29" w14:textId="77777777" w:rsidR="00093CA9" w:rsidRPr="006B7B0D" w:rsidRDefault="00093CA9" w:rsidP="00093CA9"/>
        </w:tc>
      </w:tr>
      <w:tr w:rsidR="00093CA9" w:rsidRPr="006B7B0D" w14:paraId="0C248745" w14:textId="77777777" w:rsidTr="00DC2543">
        <w:trPr>
          <w:trHeight w:val="63"/>
        </w:trPr>
        <w:tc>
          <w:tcPr>
            <w:tcW w:w="955" w:type="dxa"/>
            <w:vAlign w:val="center"/>
          </w:tcPr>
          <w:p w14:paraId="3EE745F4" w14:textId="77777777" w:rsidR="00093CA9" w:rsidRPr="006B7B0D" w:rsidRDefault="00093CA9" w:rsidP="00093CA9">
            <w:r w:rsidRPr="006B7B0D">
              <w:t>14.2.1.4</w:t>
            </w:r>
          </w:p>
        </w:tc>
        <w:tc>
          <w:tcPr>
            <w:tcW w:w="5490"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011" w:type="dxa"/>
            <w:shd w:val="clear" w:color="auto" w:fill="auto"/>
            <w:vAlign w:val="center"/>
          </w:tcPr>
          <w:p w14:paraId="6FFE5C36" w14:textId="77777777" w:rsidR="00093CA9" w:rsidRPr="006B7B0D" w:rsidRDefault="00093CA9" w:rsidP="00093CA9"/>
        </w:tc>
      </w:tr>
      <w:tr w:rsidR="00093CA9" w:rsidRPr="006B7B0D" w14:paraId="40B951C4" w14:textId="77777777" w:rsidTr="00DC2543">
        <w:trPr>
          <w:trHeight w:val="63"/>
        </w:trPr>
        <w:tc>
          <w:tcPr>
            <w:tcW w:w="955" w:type="dxa"/>
            <w:vAlign w:val="center"/>
          </w:tcPr>
          <w:p w14:paraId="70661B16" w14:textId="77777777" w:rsidR="00093CA9" w:rsidRPr="006B7B0D" w:rsidRDefault="00093CA9" w:rsidP="00093CA9">
            <w:pPr>
              <w:rPr>
                <w:b/>
                <w:bCs/>
              </w:rPr>
            </w:pPr>
            <w:r w:rsidRPr="006B7B0D">
              <w:rPr>
                <w:b/>
                <w:bCs/>
              </w:rPr>
              <w:t>14.3</w:t>
            </w:r>
          </w:p>
        </w:tc>
        <w:tc>
          <w:tcPr>
            <w:tcW w:w="9501"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DC2543">
        <w:trPr>
          <w:trHeight w:val="533"/>
        </w:trPr>
        <w:tc>
          <w:tcPr>
            <w:tcW w:w="955" w:type="dxa"/>
            <w:vAlign w:val="center"/>
          </w:tcPr>
          <w:p w14:paraId="2082B541" w14:textId="77777777" w:rsidR="00093CA9" w:rsidRPr="006B7B0D" w:rsidRDefault="00093CA9" w:rsidP="00093CA9">
            <w:pPr>
              <w:rPr>
                <w:b/>
                <w:bCs/>
              </w:rPr>
            </w:pPr>
          </w:p>
        </w:tc>
        <w:tc>
          <w:tcPr>
            <w:tcW w:w="9501" w:type="dxa"/>
            <w:gridSpan w:val="4"/>
            <w:vAlign w:val="center"/>
          </w:tcPr>
          <w:p w14:paraId="51704B6A" w14:textId="77777777" w:rsidR="00093CA9" w:rsidRPr="006B7B0D" w:rsidRDefault="00093CA9" w:rsidP="00093CA9"/>
        </w:tc>
      </w:tr>
      <w:tr w:rsidR="00093CA9" w:rsidRPr="006B7B0D" w14:paraId="77D0CF31" w14:textId="77777777" w:rsidTr="00DC2543">
        <w:trPr>
          <w:trHeight w:val="63"/>
        </w:trPr>
        <w:tc>
          <w:tcPr>
            <w:tcW w:w="955" w:type="dxa"/>
            <w:vAlign w:val="center"/>
          </w:tcPr>
          <w:p w14:paraId="0707AAFB" w14:textId="77777777" w:rsidR="00093CA9" w:rsidRPr="006B7B0D" w:rsidRDefault="00093CA9" w:rsidP="00093CA9">
            <w:r w:rsidRPr="006B7B0D">
              <w:t>14.3.1</w:t>
            </w:r>
          </w:p>
        </w:tc>
        <w:tc>
          <w:tcPr>
            <w:tcW w:w="9501"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DC2543">
        <w:trPr>
          <w:trHeight w:val="63"/>
        </w:trPr>
        <w:tc>
          <w:tcPr>
            <w:tcW w:w="955" w:type="dxa"/>
            <w:vAlign w:val="center"/>
          </w:tcPr>
          <w:p w14:paraId="20A98EAD" w14:textId="77777777" w:rsidR="00093CA9" w:rsidRPr="006B7B0D" w:rsidRDefault="00093CA9" w:rsidP="00093CA9">
            <w:r w:rsidRPr="006B7B0D">
              <w:t>14.3.1.1</w:t>
            </w:r>
          </w:p>
        </w:tc>
        <w:tc>
          <w:tcPr>
            <w:tcW w:w="5490"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011" w:type="dxa"/>
            <w:shd w:val="clear" w:color="auto" w:fill="auto"/>
            <w:vAlign w:val="center"/>
          </w:tcPr>
          <w:p w14:paraId="7CCBB24C" w14:textId="77777777" w:rsidR="00093CA9" w:rsidRPr="006B7B0D" w:rsidRDefault="00093CA9" w:rsidP="00093CA9"/>
        </w:tc>
      </w:tr>
      <w:tr w:rsidR="00093CA9" w:rsidRPr="006B7B0D" w14:paraId="648A4CEC" w14:textId="77777777" w:rsidTr="00DC2543">
        <w:trPr>
          <w:trHeight w:val="63"/>
        </w:trPr>
        <w:tc>
          <w:tcPr>
            <w:tcW w:w="955" w:type="dxa"/>
            <w:vAlign w:val="center"/>
          </w:tcPr>
          <w:p w14:paraId="3F156AAC" w14:textId="77777777" w:rsidR="00093CA9" w:rsidRPr="006B7B0D" w:rsidRDefault="00093CA9" w:rsidP="00093CA9">
            <w:r w:rsidRPr="006B7B0D">
              <w:t>14.3.1.2</w:t>
            </w:r>
          </w:p>
        </w:tc>
        <w:tc>
          <w:tcPr>
            <w:tcW w:w="5490"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011" w:type="dxa"/>
            <w:shd w:val="clear" w:color="auto" w:fill="auto"/>
            <w:vAlign w:val="center"/>
          </w:tcPr>
          <w:p w14:paraId="1E169CCE" w14:textId="77777777" w:rsidR="00093CA9" w:rsidRPr="006B7B0D" w:rsidRDefault="00093CA9" w:rsidP="00093CA9"/>
        </w:tc>
      </w:tr>
      <w:tr w:rsidR="00093CA9" w:rsidRPr="006B7B0D" w14:paraId="52C76AF7" w14:textId="77777777" w:rsidTr="00DC2543">
        <w:trPr>
          <w:trHeight w:val="63"/>
        </w:trPr>
        <w:tc>
          <w:tcPr>
            <w:tcW w:w="955" w:type="dxa"/>
            <w:vAlign w:val="center"/>
          </w:tcPr>
          <w:p w14:paraId="28B5DB84" w14:textId="77777777" w:rsidR="00093CA9" w:rsidRPr="006B7B0D" w:rsidRDefault="00093CA9" w:rsidP="00093CA9">
            <w:r w:rsidRPr="006B7B0D">
              <w:t>14.3.1.3</w:t>
            </w:r>
          </w:p>
        </w:tc>
        <w:tc>
          <w:tcPr>
            <w:tcW w:w="5490"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011" w:type="dxa"/>
            <w:shd w:val="clear" w:color="auto" w:fill="auto"/>
            <w:vAlign w:val="center"/>
          </w:tcPr>
          <w:p w14:paraId="6CA00AB3" w14:textId="77777777" w:rsidR="00093CA9" w:rsidRPr="006B7B0D" w:rsidRDefault="00093CA9" w:rsidP="00093CA9"/>
        </w:tc>
      </w:tr>
      <w:tr w:rsidR="00093CA9" w:rsidRPr="006B7B0D" w14:paraId="36227F50" w14:textId="77777777" w:rsidTr="00DC2543">
        <w:trPr>
          <w:trHeight w:val="63"/>
        </w:trPr>
        <w:tc>
          <w:tcPr>
            <w:tcW w:w="955" w:type="dxa"/>
            <w:vAlign w:val="center"/>
          </w:tcPr>
          <w:p w14:paraId="475F5BD3" w14:textId="77777777" w:rsidR="00093CA9" w:rsidRPr="006B7B0D" w:rsidRDefault="00093CA9" w:rsidP="00093CA9">
            <w:r w:rsidRPr="006B7B0D">
              <w:t>14.3.1.4</w:t>
            </w:r>
          </w:p>
        </w:tc>
        <w:tc>
          <w:tcPr>
            <w:tcW w:w="5490"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011" w:type="dxa"/>
            <w:vAlign w:val="center"/>
          </w:tcPr>
          <w:p w14:paraId="6772B1F9" w14:textId="77777777" w:rsidR="00093CA9" w:rsidRPr="006B7B0D" w:rsidRDefault="00093CA9" w:rsidP="00093CA9"/>
        </w:tc>
      </w:tr>
      <w:tr w:rsidR="00093CA9" w:rsidRPr="006B7B0D" w14:paraId="7246BF31" w14:textId="77777777" w:rsidTr="00DC2543">
        <w:trPr>
          <w:trHeight w:val="63"/>
        </w:trPr>
        <w:tc>
          <w:tcPr>
            <w:tcW w:w="955" w:type="dxa"/>
            <w:vAlign w:val="center"/>
          </w:tcPr>
          <w:p w14:paraId="647B0271" w14:textId="77777777" w:rsidR="00093CA9" w:rsidRPr="006B7B0D" w:rsidRDefault="00093CA9" w:rsidP="00093CA9">
            <w:pPr>
              <w:rPr>
                <w:b/>
                <w:bCs/>
              </w:rPr>
            </w:pPr>
            <w:r w:rsidRPr="006B7B0D">
              <w:rPr>
                <w:b/>
                <w:bCs/>
              </w:rPr>
              <w:t>14.4</w:t>
            </w:r>
          </w:p>
        </w:tc>
        <w:tc>
          <w:tcPr>
            <w:tcW w:w="9501"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DC2543">
        <w:trPr>
          <w:trHeight w:val="533"/>
        </w:trPr>
        <w:tc>
          <w:tcPr>
            <w:tcW w:w="955" w:type="dxa"/>
            <w:vAlign w:val="center"/>
          </w:tcPr>
          <w:p w14:paraId="1F21B16A" w14:textId="77777777" w:rsidR="00093CA9" w:rsidRPr="006B7B0D" w:rsidRDefault="00093CA9" w:rsidP="00093CA9">
            <w:pPr>
              <w:rPr>
                <w:b/>
                <w:bCs/>
              </w:rPr>
            </w:pPr>
          </w:p>
        </w:tc>
        <w:tc>
          <w:tcPr>
            <w:tcW w:w="9501" w:type="dxa"/>
            <w:gridSpan w:val="4"/>
            <w:vAlign w:val="center"/>
          </w:tcPr>
          <w:p w14:paraId="6A9FF7A9" w14:textId="77777777" w:rsidR="00093CA9" w:rsidRPr="006B7B0D" w:rsidRDefault="00093CA9" w:rsidP="00093CA9"/>
        </w:tc>
      </w:tr>
      <w:tr w:rsidR="00093CA9" w:rsidRPr="006B7B0D" w14:paraId="24183447" w14:textId="77777777" w:rsidTr="00DC2543">
        <w:trPr>
          <w:trHeight w:val="63"/>
        </w:trPr>
        <w:tc>
          <w:tcPr>
            <w:tcW w:w="955" w:type="dxa"/>
            <w:vAlign w:val="center"/>
          </w:tcPr>
          <w:p w14:paraId="41DFFA8E" w14:textId="77777777" w:rsidR="00093CA9" w:rsidRPr="006B7B0D" w:rsidRDefault="00093CA9" w:rsidP="00093CA9">
            <w:r w:rsidRPr="006B7B0D">
              <w:t>14.4.1</w:t>
            </w:r>
          </w:p>
        </w:tc>
        <w:tc>
          <w:tcPr>
            <w:tcW w:w="9501"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DC2543">
        <w:trPr>
          <w:trHeight w:val="63"/>
        </w:trPr>
        <w:tc>
          <w:tcPr>
            <w:tcW w:w="955" w:type="dxa"/>
            <w:vAlign w:val="center"/>
          </w:tcPr>
          <w:p w14:paraId="4F9A4A7B" w14:textId="77777777" w:rsidR="00093CA9" w:rsidRPr="006B7B0D" w:rsidRDefault="00093CA9" w:rsidP="00093CA9">
            <w:r w:rsidRPr="006B7B0D">
              <w:t>14.4.1.1</w:t>
            </w:r>
          </w:p>
        </w:tc>
        <w:tc>
          <w:tcPr>
            <w:tcW w:w="5490"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011" w:type="dxa"/>
            <w:shd w:val="clear" w:color="auto" w:fill="auto"/>
            <w:vAlign w:val="center"/>
          </w:tcPr>
          <w:p w14:paraId="36FFFEDB" w14:textId="77777777" w:rsidR="00093CA9" w:rsidRPr="006B7B0D" w:rsidRDefault="00093CA9" w:rsidP="00093CA9"/>
        </w:tc>
      </w:tr>
      <w:tr w:rsidR="00093CA9" w:rsidRPr="006B7B0D" w14:paraId="2ED25454" w14:textId="77777777" w:rsidTr="00DC2543">
        <w:trPr>
          <w:trHeight w:val="63"/>
        </w:trPr>
        <w:tc>
          <w:tcPr>
            <w:tcW w:w="955" w:type="dxa"/>
            <w:vAlign w:val="center"/>
          </w:tcPr>
          <w:p w14:paraId="6FC23CEF" w14:textId="77777777" w:rsidR="00093CA9" w:rsidRPr="006B7B0D" w:rsidRDefault="00093CA9" w:rsidP="00093CA9">
            <w:r w:rsidRPr="006B7B0D">
              <w:lastRenderedPageBreak/>
              <w:t>14.4.1.2</w:t>
            </w:r>
          </w:p>
        </w:tc>
        <w:tc>
          <w:tcPr>
            <w:tcW w:w="5490"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011" w:type="dxa"/>
            <w:shd w:val="clear" w:color="auto" w:fill="auto"/>
            <w:vAlign w:val="center"/>
          </w:tcPr>
          <w:p w14:paraId="2258416A" w14:textId="77777777" w:rsidR="00093CA9" w:rsidRPr="006B7B0D" w:rsidRDefault="00093CA9" w:rsidP="00093CA9"/>
        </w:tc>
      </w:tr>
      <w:tr w:rsidR="00093CA9" w:rsidRPr="006B7B0D" w14:paraId="6F89B1B5" w14:textId="77777777" w:rsidTr="00DC2543">
        <w:trPr>
          <w:trHeight w:val="63"/>
        </w:trPr>
        <w:tc>
          <w:tcPr>
            <w:tcW w:w="955" w:type="dxa"/>
            <w:vAlign w:val="center"/>
          </w:tcPr>
          <w:p w14:paraId="55F9E5AB" w14:textId="77777777" w:rsidR="00093CA9" w:rsidRPr="006B7B0D" w:rsidRDefault="00093CA9" w:rsidP="00093CA9">
            <w:r w:rsidRPr="006B7B0D">
              <w:t>14.4.1.3</w:t>
            </w:r>
          </w:p>
        </w:tc>
        <w:tc>
          <w:tcPr>
            <w:tcW w:w="5490"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011" w:type="dxa"/>
            <w:shd w:val="clear" w:color="auto" w:fill="auto"/>
            <w:vAlign w:val="center"/>
          </w:tcPr>
          <w:p w14:paraId="097884C2" w14:textId="77777777" w:rsidR="00093CA9" w:rsidRPr="006B7B0D" w:rsidRDefault="00093CA9" w:rsidP="00093CA9"/>
        </w:tc>
      </w:tr>
      <w:tr w:rsidR="00093CA9" w:rsidRPr="006B7B0D" w14:paraId="58F9C04F" w14:textId="77777777" w:rsidTr="00DC2543">
        <w:trPr>
          <w:trHeight w:val="63"/>
        </w:trPr>
        <w:tc>
          <w:tcPr>
            <w:tcW w:w="955" w:type="dxa"/>
            <w:vAlign w:val="center"/>
          </w:tcPr>
          <w:p w14:paraId="1073658B" w14:textId="77777777" w:rsidR="00093CA9" w:rsidRPr="006B7B0D" w:rsidRDefault="00093CA9" w:rsidP="00093CA9">
            <w:r w:rsidRPr="006B7B0D">
              <w:t>14.4.1.4</w:t>
            </w:r>
          </w:p>
        </w:tc>
        <w:tc>
          <w:tcPr>
            <w:tcW w:w="5490"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011" w:type="dxa"/>
            <w:vAlign w:val="center"/>
          </w:tcPr>
          <w:p w14:paraId="6676070F" w14:textId="77777777" w:rsidR="00093CA9" w:rsidRPr="006B7B0D" w:rsidRDefault="00093CA9" w:rsidP="00093CA9"/>
        </w:tc>
      </w:tr>
      <w:tr w:rsidR="00093CA9" w:rsidRPr="006B7B0D" w14:paraId="09425841" w14:textId="77777777" w:rsidTr="00DC2543">
        <w:trPr>
          <w:trHeight w:val="63"/>
        </w:trPr>
        <w:tc>
          <w:tcPr>
            <w:tcW w:w="955" w:type="dxa"/>
            <w:vAlign w:val="center"/>
          </w:tcPr>
          <w:p w14:paraId="00538C31" w14:textId="77777777" w:rsidR="00093CA9" w:rsidRPr="006B7B0D" w:rsidRDefault="00093CA9" w:rsidP="00093CA9">
            <w:pPr>
              <w:rPr>
                <w:b/>
                <w:bCs/>
              </w:rPr>
            </w:pPr>
            <w:r w:rsidRPr="006B7B0D">
              <w:rPr>
                <w:b/>
                <w:bCs/>
              </w:rPr>
              <w:t>14.5</w:t>
            </w:r>
          </w:p>
        </w:tc>
        <w:tc>
          <w:tcPr>
            <w:tcW w:w="9501"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DC2543">
        <w:trPr>
          <w:trHeight w:val="533"/>
        </w:trPr>
        <w:tc>
          <w:tcPr>
            <w:tcW w:w="955" w:type="dxa"/>
            <w:vAlign w:val="center"/>
          </w:tcPr>
          <w:p w14:paraId="51405CA6" w14:textId="77777777" w:rsidR="00093CA9" w:rsidRPr="006B7B0D" w:rsidRDefault="00093CA9" w:rsidP="00093CA9">
            <w:pPr>
              <w:rPr>
                <w:b/>
                <w:bCs/>
              </w:rPr>
            </w:pPr>
          </w:p>
        </w:tc>
        <w:tc>
          <w:tcPr>
            <w:tcW w:w="9501" w:type="dxa"/>
            <w:gridSpan w:val="4"/>
            <w:vAlign w:val="center"/>
          </w:tcPr>
          <w:p w14:paraId="2D2F3E7F" w14:textId="77777777" w:rsidR="00093CA9" w:rsidRPr="006B7B0D" w:rsidRDefault="00093CA9" w:rsidP="00093CA9"/>
        </w:tc>
      </w:tr>
      <w:tr w:rsidR="00093CA9" w:rsidRPr="006B7B0D" w14:paraId="357CC0D4" w14:textId="77777777" w:rsidTr="00DC2543">
        <w:trPr>
          <w:trHeight w:val="63"/>
        </w:trPr>
        <w:tc>
          <w:tcPr>
            <w:tcW w:w="955" w:type="dxa"/>
            <w:vAlign w:val="center"/>
          </w:tcPr>
          <w:p w14:paraId="4D023F64" w14:textId="77777777" w:rsidR="00093CA9" w:rsidRPr="006B7B0D" w:rsidRDefault="00093CA9" w:rsidP="00093CA9">
            <w:r w:rsidRPr="006B7B0D">
              <w:t>14.5.1</w:t>
            </w:r>
          </w:p>
        </w:tc>
        <w:tc>
          <w:tcPr>
            <w:tcW w:w="9501"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DC2543">
        <w:trPr>
          <w:trHeight w:val="63"/>
        </w:trPr>
        <w:tc>
          <w:tcPr>
            <w:tcW w:w="955" w:type="dxa"/>
            <w:vAlign w:val="center"/>
          </w:tcPr>
          <w:p w14:paraId="0DFE61DB" w14:textId="77777777" w:rsidR="00093CA9" w:rsidRPr="006B7B0D" w:rsidRDefault="00093CA9" w:rsidP="00093CA9">
            <w:r w:rsidRPr="006B7B0D">
              <w:t>14.5.1.1</w:t>
            </w:r>
          </w:p>
        </w:tc>
        <w:tc>
          <w:tcPr>
            <w:tcW w:w="5490"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011" w:type="dxa"/>
            <w:shd w:val="clear" w:color="auto" w:fill="auto"/>
            <w:vAlign w:val="center"/>
          </w:tcPr>
          <w:p w14:paraId="65FA4173" w14:textId="77777777" w:rsidR="00093CA9" w:rsidRPr="006B7B0D" w:rsidRDefault="00093CA9" w:rsidP="00093CA9"/>
        </w:tc>
      </w:tr>
      <w:tr w:rsidR="00093CA9" w:rsidRPr="006B7B0D" w14:paraId="40A766AA" w14:textId="77777777" w:rsidTr="00DC2543">
        <w:trPr>
          <w:trHeight w:val="63"/>
        </w:trPr>
        <w:tc>
          <w:tcPr>
            <w:tcW w:w="955" w:type="dxa"/>
            <w:vAlign w:val="center"/>
          </w:tcPr>
          <w:p w14:paraId="3F2E631F" w14:textId="77777777" w:rsidR="00093CA9" w:rsidRPr="006B7B0D" w:rsidRDefault="00093CA9" w:rsidP="00093CA9">
            <w:r w:rsidRPr="006B7B0D">
              <w:t>14.5.1.2</w:t>
            </w:r>
          </w:p>
        </w:tc>
        <w:tc>
          <w:tcPr>
            <w:tcW w:w="5490"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011" w:type="dxa"/>
            <w:shd w:val="clear" w:color="auto" w:fill="auto"/>
            <w:vAlign w:val="center"/>
          </w:tcPr>
          <w:p w14:paraId="410D9203" w14:textId="77777777" w:rsidR="00093CA9" w:rsidRPr="006B7B0D" w:rsidRDefault="00093CA9" w:rsidP="00093CA9"/>
        </w:tc>
      </w:tr>
      <w:tr w:rsidR="00093CA9" w:rsidRPr="006B7B0D" w14:paraId="519F945D" w14:textId="77777777" w:rsidTr="00DC2543">
        <w:trPr>
          <w:trHeight w:val="63"/>
        </w:trPr>
        <w:tc>
          <w:tcPr>
            <w:tcW w:w="955" w:type="dxa"/>
            <w:vAlign w:val="center"/>
          </w:tcPr>
          <w:p w14:paraId="711A5EF9" w14:textId="77777777" w:rsidR="00093CA9" w:rsidRPr="006B7B0D" w:rsidRDefault="00093CA9" w:rsidP="00093CA9">
            <w:r w:rsidRPr="006B7B0D">
              <w:t>14.5.1.3</w:t>
            </w:r>
          </w:p>
        </w:tc>
        <w:tc>
          <w:tcPr>
            <w:tcW w:w="5490"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011" w:type="dxa"/>
            <w:shd w:val="clear" w:color="auto" w:fill="auto"/>
            <w:vAlign w:val="center"/>
          </w:tcPr>
          <w:p w14:paraId="581FA8E7" w14:textId="77777777" w:rsidR="00093CA9" w:rsidRPr="006B7B0D" w:rsidRDefault="00093CA9" w:rsidP="00093CA9"/>
        </w:tc>
      </w:tr>
      <w:tr w:rsidR="00093CA9" w:rsidRPr="006B7B0D" w14:paraId="17FA048F" w14:textId="77777777" w:rsidTr="00DC2543">
        <w:trPr>
          <w:trHeight w:val="63"/>
        </w:trPr>
        <w:tc>
          <w:tcPr>
            <w:tcW w:w="955" w:type="dxa"/>
            <w:vAlign w:val="center"/>
          </w:tcPr>
          <w:p w14:paraId="720B8395" w14:textId="77777777" w:rsidR="00093CA9" w:rsidRPr="006B7B0D" w:rsidRDefault="00093CA9" w:rsidP="00093CA9">
            <w:r w:rsidRPr="006B7B0D">
              <w:t>14.5.1.4</w:t>
            </w:r>
          </w:p>
        </w:tc>
        <w:tc>
          <w:tcPr>
            <w:tcW w:w="5490"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011" w:type="dxa"/>
            <w:vAlign w:val="center"/>
          </w:tcPr>
          <w:p w14:paraId="79FA7226" w14:textId="77777777" w:rsidR="00093CA9" w:rsidRPr="006B7B0D" w:rsidRDefault="00093CA9" w:rsidP="00093CA9"/>
        </w:tc>
      </w:tr>
      <w:tr w:rsidR="00093CA9" w14:paraId="5949482C" w14:textId="77777777" w:rsidTr="00DC2543">
        <w:trPr>
          <w:trHeight w:val="984"/>
        </w:trPr>
        <w:tc>
          <w:tcPr>
            <w:tcW w:w="955" w:type="dxa"/>
            <w:vAlign w:val="center"/>
          </w:tcPr>
          <w:p w14:paraId="6D8D92E0" w14:textId="77777777" w:rsidR="00093CA9" w:rsidRPr="00BA1D39" w:rsidRDefault="00093CA9" w:rsidP="00093CA9">
            <w:pPr>
              <w:rPr>
                <w:b/>
                <w:bCs/>
              </w:rPr>
            </w:pPr>
            <w:r w:rsidRPr="00BA1D39">
              <w:rPr>
                <w:b/>
                <w:bCs/>
              </w:rPr>
              <w:t>15</w:t>
            </w:r>
          </w:p>
        </w:tc>
        <w:tc>
          <w:tcPr>
            <w:tcW w:w="9501"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DC2543">
        <w:trPr>
          <w:trHeight w:val="1020"/>
        </w:trPr>
        <w:tc>
          <w:tcPr>
            <w:tcW w:w="955" w:type="dxa"/>
            <w:vAlign w:val="center"/>
          </w:tcPr>
          <w:p w14:paraId="6B62A7E8" w14:textId="77777777" w:rsidR="00093CA9" w:rsidRDefault="00093CA9" w:rsidP="00093CA9"/>
        </w:tc>
        <w:tc>
          <w:tcPr>
            <w:tcW w:w="9501" w:type="dxa"/>
            <w:gridSpan w:val="4"/>
            <w:shd w:val="clear" w:color="auto" w:fill="auto"/>
            <w:vAlign w:val="center"/>
          </w:tcPr>
          <w:p w14:paraId="42D06D03" w14:textId="00B62506" w:rsidR="00093CA9" w:rsidRDefault="00644AD4" w:rsidP="00093CA9">
            <w:r w:rsidRPr="00644AD4">
              <w:t>The EBA is not directly involved in supervising the implementation of the guidelines—this is the responsibility of national competent authorities.</w:t>
            </w:r>
          </w:p>
        </w:tc>
      </w:tr>
      <w:tr w:rsidR="00093CA9" w14:paraId="7C1E73C1" w14:textId="77777777" w:rsidTr="00DC2543">
        <w:trPr>
          <w:trHeight w:val="800"/>
        </w:trPr>
        <w:tc>
          <w:tcPr>
            <w:tcW w:w="955" w:type="dxa"/>
            <w:vAlign w:val="center"/>
          </w:tcPr>
          <w:p w14:paraId="103AFAD8" w14:textId="77777777" w:rsidR="00093CA9" w:rsidRPr="00BA1D39" w:rsidRDefault="00093CA9" w:rsidP="00093CA9">
            <w:pPr>
              <w:rPr>
                <w:b/>
                <w:bCs/>
              </w:rPr>
            </w:pPr>
            <w:r w:rsidRPr="00BA1D39">
              <w:rPr>
                <w:b/>
                <w:bCs/>
              </w:rPr>
              <w:t>16</w:t>
            </w:r>
          </w:p>
        </w:tc>
        <w:tc>
          <w:tcPr>
            <w:tcW w:w="9501"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DC2543">
        <w:trPr>
          <w:trHeight w:val="57"/>
        </w:trPr>
        <w:tc>
          <w:tcPr>
            <w:tcW w:w="955" w:type="dxa"/>
            <w:vAlign w:val="center"/>
          </w:tcPr>
          <w:p w14:paraId="374B9AE4" w14:textId="77777777" w:rsidR="00093CA9" w:rsidRDefault="00093CA9" w:rsidP="00093CA9">
            <w:r>
              <w:t>16.1</w:t>
            </w:r>
          </w:p>
        </w:tc>
        <w:tc>
          <w:tcPr>
            <w:tcW w:w="5398" w:type="dxa"/>
            <w:gridSpan w:val="2"/>
            <w:shd w:val="clear" w:color="auto" w:fill="E2EFD9" w:themeFill="accent6" w:themeFillTint="33"/>
            <w:vAlign w:val="center"/>
          </w:tcPr>
          <w:p w14:paraId="6A81E655" w14:textId="77777777" w:rsidR="00093CA9" w:rsidRDefault="00093CA9" w:rsidP="00093CA9">
            <w:r>
              <w:t>Not specified</w:t>
            </w:r>
          </w:p>
        </w:tc>
        <w:tc>
          <w:tcPr>
            <w:tcW w:w="4103" w:type="dxa"/>
            <w:gridSpan w:val="2"/>
            <w:shd w:val="clear" w:color="auto" w:fill="auto"/>
            <w:vAlign w:val="center"/>
          </w:tcPr>
          <w:p w14:paraId="146E2BFD" w14:textId="77777777" w:rsidR="00093CA9" w:rsidRDefault="00093CA9" w:rsidP="00093CA9"/>
        </w:tc>
      </w:tr>
      <w:tr w:rsidR="00093CA9" w14:paraId="461D4D38" w14:textId="77777777" w:rsidTr="00DC2543">
        <w:trPr>
          <w:trHeight w:val="57"/>
        </w:trPr>
        <w:tc>
          <w:tcPr>
            <w:tcW w:w="955" w:type="dxa"/>
            <w:vAlign w:val="center"/>
          </w:tcPr>
          <w:p w14:paraId="776158BC" w14:textId="77777777" w:rsidR="00093CA9" w:rsidRDefault="00093CA9" w:rsidP="00093CA9">
            <w:r>
              <w:t>16.2</w:t>
            </w:r>
          </w:p>
        </w:tc>
        <w:tc>
          <w:tcPr>
            <w:tcW w:w="5398" w:type="dxa"/>
            <w:gridSpan w:val="2"/>
            <w:shd w:val="clear" w:color="auto" w:fill="E2EFD9" w:themeFill="accent6" w:themeFillTint="33"/>
            <w:vAlign w:val="center"/>
          </w:tcPr>
          <w:p w14:paraId="6C9616DC" w14:textId="77777777" w:rsidR="00093CA9" w:rsidRDefault="00093CA9" w:rsidP="00093CA9">
            <w:r>
              <w:t>Yes</w:t>
            </w:r>
          </w:p>
        </w:tc>
        <w:tc>
          <w:tcPr>
            <w:tcW w:w="4103" w:type="dxa"/>
            <w:gridSpan w:val="2"/>
            <w:shd w:val="clear" w:color="auto" w:fill="auto"/>
            <w:vAlign w:val="center"/>
          </w:tcPr>
          <w:p w14:paraId="54F7EBC8" w14:textId="226E06A2" w:rsidR="00093CA9" w:rsidRDefault="00644AD4" w:rsidP="00093CA9">
            <w:r>
              <w:t>X</w:t>
            </w:r>
          </w:p>
        </w:tc>
      </w:tr>
      <w:tr w:rsidR="00093CA9" w14:paraId="0763562F" w14:textId="77777777" w:rsidTr="00DC2543">
        <w:trPr>
          <w:trHeight w:val="1267"/>
        </w:trPr>
        <w:tc>
          <w:tcPr>
            <w:tcW w:w="955" w:type="dxa"/>
            <w:vAlign w:val="center"/>
          </w:tcPr>
          <w:p w14:paraId="6D2836F5" w14:textId="77777777" w:rsidR="00093CA9" w:rsidRPr="00BA1D39" w:rsidRDefault="00093CA9" w:rsidP="00093CA9">
            <w:pPr>
              <w:rPr>
                <w:b/>
                <w:bCs/>
              </w:rPr>
            </w:pPr>
            <w:r w:rsidRPr="00BA1D39">
              <w:rPr>
                <w:b/>
                <w:bCs/>
              </w:rPr>
              <w:lastRenderedPageBreak/>
              <w:t>17</w:t>
            </w:r>
          </w:p>
        </w:tc>
        <w:tc>
          <w:tcPr>
            <w:tcW w:w="9501"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DC2543">
        <w:trPr>
          <w:trHeight w:val="1020"/>
        </w:trPr>
        <w:tc>
          <w:tcPr>
            <w:tcW w:w="955" w:type="dxa"/>
            <w:vAlign w:val="center"/>
          </w:tcPr>
          <w:p w14:paraId="08EDF6C9" w14:textId="77777777" w:rsidR="00093CA9" w:rsidRDefault="00093CA9" w:rsidP="00093CA9"/>
        </w:tc>
        <w:tc>
          <w:tcPr>
            <w:tcW w:w="9501" w:type="dxa"/>
            <w:gridSpan w:val="4"/>
            <w:shd w:val="clear" w:color="auto" w:fill="auto"/>
            <w:vAlign w:val="center"/>
          </w:tcPr>
          <w:p w14:paraId="2C2128DB" w14:textId="03EC3122" w:rsidR="00093CA9" w:rsidRPr="008017F9" w:rsidRDefault="00644AD4" w:rsidP="00093CA9">
            <w:pPr>
              <w:keepNext/>
              <w:rPr>
                <w:color w:val="000000" w:themeColor="text1"/>
              </w:rPr>
            </w:pPr>
            <w:r>
              <w:rPr>
                <w:color w:val="000000" w:themeColor="text1"/>
              </w:rPr>
              <w:t xml:space="preserve">Sections 1.3 requires that, under </w:t>
            </w:r>
            <w:r w:rsidRPr="00522BBC">
              <w:rPr>
                <w:color w:val="000000" w:themeColor="text1"/>
              </w:rPr>
              <w:t xml:space="preserve">Article 16(3) of Regulation (EU) No 1093/2010, competent </w:t>
            </w:r>
            <w:r>
              <w:rPr>
                <w:color w:val="000000" w:themeColor="text1"/>
              </w:rPr>
              <w:t xml:space="preserve">national </w:t>
            </w:r>
            <w:r w:rsidRPr="00522BBC">
              <w:rPr>
                <w:color w:val="000000" w:themeColor="text1"/>
              </w:rPr>
              <w:t>authorities</w:t>
            </w:r>
            <w:r>
              <w:rPr>
                <w:color w:val="000000" w:themeColor="text1"/>
              </w:rPr>
              <w:t>, tasked with ensuring the implementation of the policy tool by domestic institutions,</w:t>
            </w:r>
            <w:r w:rsidRPr="00522BBC">
              <w:rPr>
                <w:color w:val="000000" w:themeColor="text1"/>
              </w:rPr>
              <w:t xml:space="preserve"> must notify the EBA as to whether they comply or intend to comply, or otherwise with reasons for non-compliance, by [dd.mm.yyyy]. In the absence of any notification by this deadline, competent authorities will be considered by the EBA to be non</w:t>
            </w:r>
            <w:r>
              <w:rPr>
                <w:color w:val="000000" w:themeColor="text1"/>
              </w:rPr>
              <w:t>-</w:t>
            </w:r>
            <w:r w:rsidRPr="00522BBC">
              <w:rPr>
                <w:color w:val="000000" w:themeColor="text1"/>
              </w:rPr>
              <w:t>compliant. Any change in the status of</w:t>
            </w:r>
            <w:r>
              <w:rPr>
                <w:color w:val="000000" w:themeColor="text1"/>
              </w:rPr>
              <w:t xml:space="preserve"> </w:t>
            </w:r>
            <w:r w:rsidRPr="00522BBC">
              <w:rPr>
                <w:color w:val="000000" w:themeColor="text1"/>
              </w:rPr>
              <w:t>compliance must also be reported to EBA.</w:t>
            </w:r>
            <w:r>
              <w:rPr>
                <w:color w:val="000000" w:themeColor="text1"/>
              </w:rPr>
              <w:t xml:space="preserve"> Notifications will be published on the EBA website, in line with Article 16(3).</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DC2543"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0B6597" w:rsidRDefault="00107CE2" w:rsidP="00DD3144">
            <w:pPr>
              <w:rPr>
                <w:lang w:val="fr-FR"/>
              </w:rPr>
            </w:pPr>
            <w:r w:rsidRPr="000B6597">
              <w:rPr>
                <w:lang w:val="fr-FR"/>
              </w:rPr>
              <w:t>Minimum revenue (Enter minimum revenue)</w:t>
            </w:r>
          </w:p>
        </w:tc>
        <w:tc>
          <w:tcPr>
            <w:tcW w:w="4910" w:type="dxa"/>
            <w:gridSpan w:val="7"/>
            <w:shd w:val="clear" w:color="auto" w:fill="auto"/>
            <w:vAlign w:val="center"/>
          </w:tcPr>
          <w:p w14:paraId="2518BD70" w14:textId="77777777" w:rsidR="00524D54" w:rsidRPr="000B6597" w:rsidRDefault="00524D54" w:rsidP="00DD3144">
            <w:pPr>
              <w:rPr>
                <w:lang w:val="fr-FR"/>
              </w:rPr>
            </w:pPr>
          </w:p>
        </w:tc>
      </w:tr>
      <w:tr w:rsidR="00524D54" w:rsidRPr="00FE15AC"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DC2543"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0B6597" w:rsidRDefault="00B0479E" w:rsidP="00DD3144">
            <w:pPr>
              <w:rPr>
                <w:lang w:val="fr-FR"/>
              </w:rPr>
            </w:pPr>
            <w:r w:rsidRPr="000B6597">
              <w:rPr>
                <w:rFonts w:ascii="Calibri" w:hAnsi="Calibri" w:cs="Calibri"/>
                <w:lang w:val="fr-FR"/>
              </w:rPr>
              <w:t xml:space="preserve">Carbon dioxide equivalent (CO₂e) </w:t>
            </w:r>
          </w:p>
        </w:tc>
        <w:tc>
          <w:tcPr>
            <w:tcW w:w="3330" w:type="dxa"/>
            <w:gridSpan w:val="2"/>
            <w:shd w:val="clear" w:color="auto" w:fill="auto"/>
            <w:vAlign w:val="center"/>
          </w:tcPr>
          <w:p w14:paraId="7C41530E" w14:textId="769FE26A" w:rsidR="00B0479E" w:rsidRPr="000B6597"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DC2543"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0B6597" w:rsidRDefault="004F276F" w:rsidP="00C37D48">
            <w:pPr>
              <w:rPr>
                <w:rFonts w:ascii="Calibri" w:hAnsi="Calibri" w:cs="Calibri"/>
                <w:lang w:val="fr-FR"/>
              </w:rPr>
            </w:pPr>
            <w:r w:rsidRPr="000B6597">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0B6597" w:rsidRDefault="004F276F" w:rsidP="00C37D48">
            <w:pPr>
              <w:rPr>
                <w:rFonts w:ascii="Calibri" w:hAnsi="Calibri" w:cs="Calibri"/>
                <w:lang w:val="fr-FR"/>
              </w:rPr>
            </w:pPr>
          </w:p>
        </w:tc>
      </w:tr>
      <w:tr w:rsidR="004F276F" w:rsidRPr="00FE15AC"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DC2543"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0B6597" w:rsidRDefault="003A2E5E" w:rsidP="00C37D48">
            <w:pPr>
              <w:rPr>
                <w:rFonts w:ascii="Calibri" w:hAnsi="Calibri" w:cs="Calibri"/>
                <w:lang w:val="fr-FR"/>
              </w:rPr>
            </w:pPr>
            <w:r w:rsidRPr="000B6597">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0B6597"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DC2543"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0B6597" w:rsidRDefault="00C66EE0" w:rsidP="00610F28">
            <w:pPr>
              <w:rPr>
                <w:rFonts w:ascii="Calibri" w:hAnsi="Calibri" w:cs="Calibri"/>
                <w:lang w:val="fr-FR"/>
              </w:rPr>
            </w:pPr>
            <w:r w:rsidRPr="000B6597">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0B6597" w:rsidRDefault="00C66EE0" w:rsidP="00610F28">
            <w:pPr>
              <w:rPr>
                <w:rFonts w:ascii="Calibri" w:hAnsi="Calibri" w:cs="Calibri"/>
                <w:lang w:val="fr-FR"/>
              </w:rPr>
            </w:pPr>
          </w:p>
        </w:tc>
      </w:tr>
      <w:tr w:rsidR="00241257" w:rsidRPr="00FE15AC"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DC2543"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0B6597" w:rsidRDefault="00092534" w:rsidP="00CF2E7C">
            <w:pPr>
              <w:rPr>
                <w:rFonts w:ascii="Calibri" w:hAnsi="Calibri" w:cs="Calibri"/>
                <w:lang w:val="fr-FR"/>
              </w:rPr>
            </w:pPr>
            <w:r w:rsidRPr="000B6597">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0B6597" w:rsidRDefault="00092534" w:rsidP="00CF2E7C">
            <w:pPr>
              <w:rPr>
                <w:rFonts w:ascii="Calibri" w:hAnsi="Calibri" w:cs="Calibri"/>
                <w:lang w:val="fr-FR"/>
              </w:rPr>
            </w:pPr>
          </w:p>
        </w:tc>
      </w:tr>
      <w:tr w:rsidR="00092534" w:rsidRPr="00FE15A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2768BAC3" w:rsidR="00D4323A" w:rsidRPr="00CF2E7C" w:rsidRDefault="00644AD4"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D188CD" w:rsidR="00D4323A" w:rsidRPr="00CF2E7C" w:rsidRDefault="00644AD4"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3C7A28FE" w:rsidR="00D4323A" w:rsidRPr="00CF2E7C" w:rsidRDefault="00644AD4"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35837051" w:rsidR="00D4323A" w:rsidRPr="00CF2E7C" w:rsidRDefault="00644AD4"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0E789750" w:rsidR="00D4323A" w:rsidRPr="00CF2E7C" w:rsidRDefault="00644AD4"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4351A144" w:rsidR="00D4323A" w:rsidRPr="00CF2E7C" w:rsidRDefault="00644AD4"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2DA4994D" w:rsidR="00D4323A" w:rsidRPr="00CF2E7C" w:rsidRDefault="00644AD4"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1E99F285" w:rsidR="00D4323A" w:rsidRPr="00CF2E7C" w:rsidRDefault="00644AD4" w:rsidP="00CF2E7C">
            <w:pPr>
              <w:rPr>
                <w:rFonts w:ascii="Calibri" w:hAnsi="Calibri" w:cs="Calibri"/>
              </w:rPr>
            </w:pPr>
            <w:r>
              <w:rPr>
                <w:rFonts w:ascii="Calibri" w:hAnsi="Calibri" w:cs="Calibri"/>
              </w:rPr>
              <w:t>X</w:t>
            </w: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12F9A01A" w:rsidR="00D4323A" w:rsidRPr="00CF2E7C" w:rsidRDefault="00644AD4"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0D7FB960" w:rsidR="00D4323A" w:rsidRPr="00CF2E7C" w:rsidRDefault="00644AD4"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F746A1" w:rsidR="00D4323A" w:rsidRPr="00CF2E7C" w:rsidRDefault="00644AD4"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645D7583" w:rsidR="00D4323A" w:rsidRPr="00CF2E7C" w:rsidRDefault="00644AD4"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18276487" w:rsidR="00D4323A" w:rsidRPr="00CF2E7C" w:rsidRDefault="00644AD4"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3A483BA0" w:rsidR="00DD292A" w:rsidRPr="00CF2E7C" w:rsidRDefault="00644AD4"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C2543" w:rsidRPr="009C4D10" w14:paraId="7A0CC864" w14:textId="77777777" w:rsidTr="00CF2E7C">
        <w:trPr>
          <w:trHeight w:val="35"/>
        </w:trPr>
        <w:tc>
          <w:tcPr>
            <w:tcW w:w="1065" w:type="dxa"/>
            <w:vAlign w:val="center"/>
          </w:tcPr>
          <w:p w14:paraId="62BA47E6" w14:textId="3BB46012" w:rsidR="00DC2543" w:rsidRPr="00CF2E7C" w:rsidRDefault="00DC2543" w:rsidP="00DC2543">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C2543" w:rsidRPr="00CF2E7C" w:rsidRDefault="00DC2543" w:rsidP="00DC2543">
            <w:pPr>
              <w:rPr>
                <w:rFonts w:ascii="Calibri" w:hAnsi="Calibri" w:cs="Calibri"/>
              </w:rPr>
            </w:pPr>
            <w:r w:rsidRPr="00CF2E7C">
              <w:rPr>
                <w:rFonts w:ascii="Calibri" w:hAnsi="Calibri" w:cs="Calibri"/>
              </w:rPr>
              <w:t>Non-Bank Financial Companies</w:t>
            </w:r>
          </w:p>
        </w:tc>
        <w:tc>
          <w:tcPr>
            <w:tcW w:w="1456" w:type="dxa"/>
            <w:vAlign w:val="center"/>
          </w:tcPr>
          <w:p w14:paraId="09B0AA4F" w14:textId="7CEC95FB" w:rsidR="00DC2543" w:rsidRPr="00CF2E7C" w:rsidRDefault="00DC2543" w:rsidP="00DC2543">
            <w:pPr>
              <w:rPr>
                <w:rFonts w:ascii="Calibri" w:hAnsi="Calibri" w:cs="Calibri"/>
              </w:rPr>
            </w:pPr>
            <w:r>
              <w:rPr>
                <w:rFonts w:ascii="Calibri" w:hAnsi="Calibri" w:cs="Calibri"/>
              </w:rPr>
              <w:t>X</w:t>
            </w:r>
          </w:p>
        </w:tc>
        <w:tc>
          <w:tcPr>
            <w:tcW w:w="1455" w:type="dxa"/>
            <w:gridSpan w:val="2"/>
            <w:vAlign w:val="center"/>
          </w:tcPr>
          <w:p w14:paraId="59824F78" w14:textId="77777777" w:rsidR="00DC2543" w:rsidRPr="00CF2E7C" w:rsidRDefault="00DC2543" w:rsidP="00DC2543">
            <w:pPr>
              <w:rPr>
                <w:rFonts w:ascii="Calibri" w:hAnsi="Calibri" w:cs="Calibri"/>
              </w:rPr>
            </w:pPr>
          </w:p>
        </w:tc>
        <w:tc>
          <w:tcPr>
            <w:tcW w:w="1505" w:type="dxa"/>
            <w:vAlign w:val="center"/>
          </w:tcPr>
          <w:p w14:paraId="772FA653" w14:textId="2567CBDB" w:rsidR="00DC2543" w:rsidRPr="00CF2E7C" w:rsidRDefault="00DC2543" w:rsidP="00DC2543">
            <w:pPr>
              <w:rPr>
                <w:rFonts w:ascii="Calibri" w:hAnsi="Calibri" w:cs="Calibri"/>
              </w:rPr>
            </w:pPr>
          </w:p>
        </w:tc>
      </w:tr>
      <w:tr w:rsidR="00DC2543" w:rsidRPr="009C4D10" w14:paraId="16E91DFA" w14:textId="77777777" w:rsidTr="00CF2E7C">
        <w:trPr>
          <w:trHeight w:val="35"/>
        </w:trPr>
        <w:tc>
          <w:tcPr>
            <w:tcW w:w="1065" w:type="dxa"/>
            <w:vAlign w:val="center"/>
          </w:tcPr>
          <w:p w14:paraId="5770A979" w14:textId="3E8A8F56" w:rsidR="00DC2543" w:rsidRPr="00CF2E7C" w:rsidRDefault="00DC2543" w:rsidP="00DC2543">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C2543" w:rsidRPr="00CF2E7C" w:rsidRDefault="00DC2543" w:rsidP="00DC2543">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5FDFBDF4" w:rsidR="00DC2543" w:rsidRPr="00CF2E7C" w:rsidRDefault="00DC2543" w:rsidP="00DC2543">
            <w:pPr>
              <w:rPr>
                <w:rFonts w:ascii="Calibri" w:hAnsi="Calibri" w:cs="Calibri"/>
              </w:rPr>
            </w:pPr>
          </w:p>
        </w:tc>
        <w:tc>
          <w:tcPr>
            <w:tcW w:w="1455" w:type="dxa"/>
            <w:gridSpan w:val="2"/>
            <w:vAlign w:val="center"/>
          </w:tcPr>
          <w:p w14:paraId="4FF5C987" w14:textId="77777777" w:rsidR="00DC2543" w:rsidRPr="00CF2E7C" w:rsidRDefault="00DC2543" w:rsidP="00DC2543">
            <w:pPr>
              <w:rPr>
                <w:rFonts w:ascii="Calibri" w:hAnsi="Calibri" w:cs="Calibri"/>
              </w:rPr>
            </w:pPr>
          </w:p>
        </w:tc>
        <w:tc>
          <w:tcPr>
            <w:tcW w:w="1505" w:type="dxa"/>
            <w:vAlign w:val="center"/>
          </w:tcPr>
          <w:p w14:paraId="2341305D" w14:textId="1B497202" w:rsidR="00DC2543" w:rsidRPr="00CF2E7C" w:rsidRDefault="00DC2543" w:rsidP="00DC2543">
            <w:pPr>
              <w:rPr>
                <w:rFonts w:ascii="Calibri" w:hAnsi="Calibri" w:cs="Calibri"/>
              </w:rPr>
            </w:pPr>
            <w:r>
              <w:rPr>
                <w:rFonts w:ascii="Calibri" w:hAnsi="Calibri" w:cs="Calibri"/>
              </w:rPr>
              <w:t>X</w:t>
            </w:r>
          </w:p>
        </w:tc>
      </w:tr>
      <w:tr w:rsidR="00DC2543" w:rsidRPr="009C4D10" w14:paraId="6EA2AFE0" w14:textId="77777777" w:rsidTr="00CF2E7C">
        <w:trPr>
          <w:trHeight w:val="35"/>
        </w:trPr>
        <w:tc>
          <w:tcPr>
            <w:tcW w:w="1065" w:type="dxa"/>
            <w:vAlign w:val="center"/>
          </w:tcPr>
          <w:p w14:paraId="082FD086" w14:textId="0D756AE9" w:rsidR="00DC2543" w:rsidRPr="00CF2E7C" w:rsidRDefault="00DC2543" w:rsidP="00DC2543">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C2543" w:rsidRPr="00CF2E7C" w:rsidRDefault="00DC2543" w:rsidP="00DC2543">
            <w:pPr>
              <w:rPr>
                <w:rFonts w:ascii="Calibri" w:hAnsi="Calibri" w:cs="Calibri"/>
              </w:rPr>
            </w:pPr>
            <w:r w:rsidRPr="00CF2E7C">
              <w:rPr>
                <w:rFonts w:ascii="Calibri" w:hAnsi="Calibri" w:cs="Calibri"/>
              </w:rPr>
              <w:t>Asset Managers</w:t>
            </w:r>
          </w:p>
        </w:tc>
        <w:tc>
          <w:tcPr>
            <w:tcW w:w="1456" w:type="dxa"/>
            <w:vAlign w:val="center"/>
          </w:tcPr>
          <w:p w14:paraId="3BA0C0E8" w14:textId="2587308E" w:rsidR="00DC2543" w:rsidRPr="00CF2E7C" w:rsidRDefault="00DC2543" w:rsidP="00DC2543">
            <w:pPr>
              <w:rPr>
                <w:rFonts w:ascii="Calibri" w:hAnsi="Calibri" w:cs="Calibri"/>
              </w:rPr>
            </w:pPr>
          </w:p>
        </w:tc>
        <w:tc>
          <w:tcPr>
            <w:tcW w:w="1455" w:type="dxa"/>
            <w:gridSpan w:val="2"/>
            <w:vAlign w:val="center"/>
          </w:tcPr>
          <w:p w14:paraId="21154B2A" w14:textId="77777777" w:rsidR="00DC2543" w:rsidRPr="00CF2E7C" w:rsidRDefault="00DC2543" w:rsidP="00DC2543">
            <w:pPr>
              <w:rPr>
                <w:rFonts w:ascii="Calibri" w:hAnsi="Calibri" w:cs="Calibri"/>
              </w:rPr>
            </w:pPr>
          </w:p>
        </w:tc>
        <w:tc>
          <w:tcPr>
            <w:tcW w:w="1505" w:type="dxa"/>
            <w:vAlign w:val="center"/>
          </w:tcPr>
          <w:p w14:paraId="48F15DA7" w14:textId="6BA76BC6" w:rsidR="00DC2543" w:rsidRPr="00CF2E7C" w:rsidRDefault="00DC2543" w:rsidP="00DC2543">
            <w:pPr>
              <w:rPr>
                <w:rFonts w:ascii="Calibri" w:hAnsi="Calibri" w:cs="Calibri"/>
              </w:rPr>
            </w:pPr>
            <w:r>
              <w:rPr>
                <w:rFonts w:ascii="Calibri" w:hAnsi="Calibri" w:cs="Calibri"/>
              </w:rPr>
              <w:t>X</w:t>
            </w:r>
          </w:p>
        </w:tc>
      </w:tr>
      <w:tr w:rsidR="00DC2543" w:rsidRPr="009C4D10" w14:paraId="33CFEA62" w14:textId="77777777" w:rsidTr="00CF2E7C">
        <w:trPr>
          <w:trHeight w:val="35"/>
        </w:trPr>
        <w:tc>
          <w:tcPr>
            <w:tcW w:w="1065" w:type="dxa"/>
            <w:vAlign w:val="center"/>
          </w:tcPr>
          <w:p w14:paraId="724206E7" w14:textId="61AEAC7E" w:rsidR="00DC2543" w:rsidRPr="00CF2E7C" w:rsidRDefault="00DC2543" w:rsidP="00DC2543">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C2543" w:rsidRPr="00CF2E7C" w:rsidRDefault="00DC2543" w:rsidP="00DC2543">
            <w:pPr>
              <w:rPr>
                <w:rFonts w:ascii="Calibri" w:hAnsi="Calibri" w:cs="Calibri"/>
              </w:rPr>
            </w:pPr>
            <w:r w:rsidRPr="00CF2E7C">
              <w:rPr>
                <w:rFonts w:ascii="Calibri" w:hAnsi="Calibri" w:cs="Calibri"/>
              </w:rPr>
              <w:t>Pension Funds</w:t>
            </w:r>
          </w:p>
        </w:tc>
        <w:tc>
          <w:tcPr>
            <w:tcW w:w="1456" w:type="dxa"/>
            <w:vAlign w:val="center"/>
          </w:tcPr>
          <w:p w14:paraId="7A479C51" w14:textId="4E5E752D" w:rsidR="00DC2543" w:rsidRPr="00CF2E7C" w:rsidRDefault="00DC2543" w:rsidP="00DC2543">
            <w:pPr>
              <w:rPr>
                <w:rFonts w:ascii="Calibri" w:hAnsi="Calibri" w:cs="Calibri"/>
              </w:rPr>
            </w:pPr>
          </w:p>
        </w:tc>
        <w:tc>
          <w:tcPr>
            <w:tcW w:w="1455" w:type="dxa"/>
            <w:gridSpan w:val="2"/>
            <w:vAlign w:val="center"/>
          </w:tcPr>
          <w:p w14:paraId="2844CBF5" w14:textId="77777777" w:rsidR="00DC2543" w:rsidRPr="00CF2E7C" w:rsidRDefault="00DC2543" w:rsidP="00DC2543">
            <w:pPr>
              <w:rPr>
                <w:rFonts w:ascii="Calibri" w:hAnsi="Calibri" w:cs="Calibri"/>
              </w:rPr>
            </w:pPr>
          </w:p>
        </w:tc>
        <w:tc>
          <w:tcPr>
            <w:tcW w:w="1505" w:type="dxa"/>
            <w:vAlign w:val="center"/>
          </w:tcPr>
          <w:p w14:paraId="72514BA5" w14:textId="10DE7BDA" w:rsidR="00DC2543" w:rsidRPr="00CF2E7C" w:rsidRDefault="00DC2543" w:rsidP="00DC2543">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03C07D55" w:rsidR="00DD292A" w:rsidRPr="00CF2E7C" w:rsidRDefault="00644AD4"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55A13723" w:rsidR="00DD292A" w:rsidRPr="00CF2E7C" w:rsidRDefault="00171F69" w:rsidP="00CF2E7C">
            <w:pPr>
              <w:rPr>
                <w:rFonts w:ascii="Calibri" w:hAnsi="Calibri" w:cs="Calibri"/>
              </w:rPr>
            </w:pPr>
            <w:r w:rsidRPr="00171F69">
              <w:rPr>
                <w:rFonts w:ascii="Calibri" w:hAnsi="Calibri" w:cs="Calibri"/>
              </w:rPr>
              <w:t>The guidelines will apply to institutions as defined in Directive 2013/36/EU (CRD), specifically credit institutions and Class 1 investment firms.</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DC2543"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0B6597" w:rsidRDefault="00DD292A" w:rsidP="00CF2E7C">
            <w:pPr>
              <w:rPr>
                <w:rFonts w:ascii="Calibri" w:hAnsi="Calibri" w:cs="Calibri"/>
                <w:lang w:val="fr-FR"/>
              </w:rPr>
            </w:pPr>
            <w:r w:rsidRPr="000B6597">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0B6597" w:rsidRDefault="00DD292A" w:rsidP="00CF2E7C">
            <w:pPr>
              <w:rPr>
                <w:rFonts w:ascii="Calibri" w:hAnsi="Calibri" w:cs="Calibri"/>
                <w:lang w:val="fr-FR"/>
              </w:rPr>
            </w:pPr>
          </w:p>
        </w:tc>
      </w:tr>
      <w:tr w:rsidR="00DD292A" w:rsidRPr="00FE15A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6087D924" w:rsidR="00DD292A" w:rsidRPr="00CF2E7C" w:rsidRDefault="00644AD4" w:rsidP="00CF2E7C">
            <w:pPr>
              <w:rPr>
                <w:rFonts w:ascii="Calibri" w:hAnsi="Calibri" w:cs="Calibri"/>
              </w:rPr>
            </w:pPr>
            <w:r>
              <w:rPr>
                <w:rFonts w:cstheme="minorHAnsi"/>
              </w:rPr>
              <w:t>Financial institutions must be headquartered in the EU, in accordance with Directive 2013/36/UE</w:t>
            </w:r>
            <w:r w:rsidR="00171F69">
              <w:rPr>
                <w:rFonts w:cstheme="minorHAnsi"/>
              </w:rPr>
              <w:t xml:space="preserve"> (CRD)</w:t>
            </w:r>
            <w:r>
              <w:rPr>
                <w:rFonts w:cstheme="minorHAnsi"/>
              </w:rPr>
              <w:t>.</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171F69" w:rsidRPr="009C4D10" w14:paraId="51150797" w14:textId="77777777" w:rsidTr="00CF2E7C">
        <w:trPr>
          <w:trHeight w:val="440"/>
        </w:trPr>
        <w:tc>
          <w:tcPr>
            <w:tcW w:w="1065" w:type="dxa"/>
            <w:vAlign w:val="center"/>
          </w:tcPr>
          <w:p w14:paraId="3FBC5372" w14:textId="15B9803C" w:rsidR="00171F69" w:rsidRPr="00CF2E7C" w:rsidRDefault="00171F69" w:rsidP="00171F69">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171F69" w:rsidRPr="00CF2E7C" w:rsidRDefault="00171F69" w:rsidP="00171F69">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2AC1D616" w:rsidR="00171F69" w:rsidRPr="00CF2E7C" w:rsidRDefault="00171F69" w:rsidP="00171F69">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0A5BB15F"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693ED631" w:rsidR="00DD292A" w:rsidRPr="00CF2E7C" w:rsidRDefault="00171F69" w:rsidP="00CF2E7C">
            <w:pPr>
              <w:rPr>
                <w:rFonts w:ascii="Calibri" w:hAnsi="Calibri" w:cs="Calibri"/>
              </w:rPr>
            </w:pPr>
            <w:r>
              <w:rPr>
                <w:rFonts w:ascii="Calibri" w:hAnsi="Calibri" w:cs="Calibri"/>
              </w:rPr>
              <w:t>X</w:t>
            </w: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5F611725" w:rsidR="00DD292A" w:rsidRPr="0041560A" w:rsidRDefault="00DD292A" w:rsidP="0041560A">
            <w:pPr>
              <w:rPr>
                <w:rFonts w:cstheme="minorHAns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BF2D34" w:rsidR="00DD3B33" w:rsidRPr="00CF2E7C" w:rsidRDefault="0041560A"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5304FBC3" w:rsidR="00DD3B33" w:rsidRPr="00CF2E7C" w:rsidRDefault="0041560A" w:rsidP="00CF2E7C">
            <w:pPr>
              <w:rPr>
                <w:rFonts w:ascii="Calibri" w:hAnsi="Calibri" w:cs="Calibri"/>
              </w:rPr>
            </w:pPr>
            <w:r>
              <w:rPr>
                <w:rFonts w:cstheme="minorHAnsi"/>
              </w:rPr>
              <w:t xml:space="preserve">This policy tool does not specify sanctions for non-compliance. However, national supervisory authorities may take remedial measures in relation with these guidelines, within the scope of their review process, as per </w:t>
            </w:r>
            <w:r w:rsidRPr="0083434D">
              <w:rPr>
                <w:rFonts w:cstheme="minorHAnsi"/>
              </w:rPr>
              <w:t>EU Capital Requirements Directive (</w:t>
            </w:r>
            <w:r>
              <w:rPr>
                <w:rFonts w:cstheme="minorHAnsi"/>
              </w:rPr>
              <w:t>“</w:t>
            </w:r>
            <w:r w:rsidRPr="0083434D">
              <w:rPr>
                <w:rFonts w:cstheme="minorHAnsi"/>
              </w:rPr>
              <w:t>CRD6</w:t>
            </w:r>
            <w:r>
              <w:rPr>
                <w:rFonts w:cstheme="minorHAnsi"/>
              </w:rPr>
              <w:t>”</w:t>
            </w:r>
            <w:r w:rsidRPr="0083434D">
              <w:rPr>
                <w:rFonts w:cstheme="minorHAnsi"/>
              </w:rPr>
              <w:t>)</w:t>
            </w:r>
            <w:r>
              <w:rPr>
                <w:rFonts w:cstheme="minorHAnsi"/>
              </w:rPr>
              <w:t>.</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AAC0B9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23EA2D14" w:rsidR="00DD292A" w:rsidRPr="00CF2E7C" w:rsidRDefault="0041560A"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383065E" w:rsidR="00DD292A" w:rsidRPr="00CF2E7C" w:rsidRDefault="0041560A" w:rsidP="00CF2E7C">
            <w:pPr>
              <w:rPr>
                <w:rFonts w:ascii="Calibri" w:hAnsi="Calibri" w:cs="Calibri"/>
              </w:rPr>
            </w:pPr>
            <w:r>
              <w:rPr>
                <w:rFonts w:cstheme="minorHAnsi"/>
              </w:rPr>
              <w:t>The policy tool has not entered into force.</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43CC5936" w:rsidR="00DD292A" w:rsidRPr="00CF2E7C" w:rsidRDefault="0041560A"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22C30C7F" w:rsidR="00DD292A" w:rsidRPr="00CF2E7C" w:rsidRDefault="0041560A" w:rsidP="00CF2E7C">
            <w:pPr>
              <w:rPr>
                <w:rFonts w:ascii="Calibri" w:hAnsi="Calibri" w:cs="Calibri"/>
              </w:rPr>
            </w:pPr>
            <w:r>
              <w:rPr>
                <w:rFonts w:cstheme="minorHAnsi"/>
              </w:rPr>
              <w:t>The policy tool has not entered into force.</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73258E7B" w:rsidR="00410853" w:rsidRPr="00CF2E7C" w:rsidRDefault="004156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02D7F1A2" w:rsidR="00410853" w:rsidRPr="00CF2E7C" w:rsidRDefault="004156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315D8B86" w:rsidR="00410853" w:rsidRPr="00CF2E7C" w:rsidRDefault="004156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6CBE6BF2" w:rsidR="00F632FB" w:rsidRPr="00CF2E7C" w:rsidRDefault="004156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604012B5" w:rsidR="00F632FB" w:rsidRPr="00CF2E7C" w:rsidRDefault="004156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151A83E5" w:rsidR="00F632FB" w:rsidRPr="00CF2E7C" w:rsidRDefault="004156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3542AF60" w:rsidR="00F632FB" w:rsidRPr="00CF2E7C" w:rsidRDefault="004156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5138616A" w:rsidR="008C4722" w:rsidRPr="00CF2E7C" w:rsidRDefault="007669B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7AFDFE5D" w:rsidR="008C4722" w:rsidRPr="00CF2E7C" w:rsidRDefault="007669B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7D143456" w:rsidR="008C4722" w:rsidRPr="00CF2E7C" w:rsidRDefault="007669B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0B28BF81" w:rsidR="008C4722" w:rsidRPr="00CF2E7C" w:rsidRDefault="007669B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F078C19" w14:textId="637F87F8" w:rsidR="007669BA" w:rsidRDefault="007669BA" w:rsidP="007669BA">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Section 4.1 specifies that institutions should assess both transition and physical risk drivers. For climate transition risks, institutions should assess (1) exposures to sectors that contribute highly to climate change and (2) the degree of alignment or misalignment of portfolios with the relevant regulatory objectives of the jurisdictions where they operate. For physical risks, institutions should assess (1) the geographical areas in which key assets of counterparties and physical collateral are located and (2) the vulnerability level to environmental hazards associated with different climate scenarios and transition pathways.</w:t>
            </w:r>
          </w:p>
          <w:p w14:paraId="4F9674B2" w14:textId="77777777" w:rsidR="007669BA" w:rsidRDefault="007669BA" w:rsidP="007669BA">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Section 4.2.1 requires institutions’ internal procedures to include tools and methodologies to measure ESG risk drivers and consider the potential impact of these risks in the short, medium, and long term. With regard to environmental risks (e.g., degradation of nature), internal procedures and methodologies should allow institutions to quantify climate-related risks, understand the corresponding financial risks, and establish key risk indicators. With regard to social and governance risks, institutions’ internal procedures should start by evaluating qualitatively the potential impacts of these risks and progressively develop quantitative measures. </w:t>
            </w:r>
          </w:p>
          <w:p w14:paraId="5A07B3CB" w14:textId="77777777" w:rsidR="007669BA" w:rsidRDefault="007669BA" w:rsidP="007669BA">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Section 5.1 requires institutions to embed ESG risks within their regular risk management systems and develop an approach to managing ESG risks over the short, medium and long term. </w:t>
            </w:r>
          </w:p>
          <w:p w14:paraId="39FC6AFA" w14:textId="7489587F" w:rsidR="008C4722" w:rsidRPr="00CF2E7C" w:rsidRDefault="007669BA" w:rsidP="007669BA">
            <w:pPr>
              <w:textAlignment w:val="baseline"/>
              <w:rPr>
                <w:rFonts w:ascii="Calibri" w:eastAsia="Times New Roman" w:hAnsi="Calibri" w:cs="Calibri"/>
                <w:kern w:val="0"/>
                <w:lang w:eastAsia="en-GB"/>
                <w14:ligatures w14:val="none"/>
              </w:rPr>
            </w:pPr>
            <w:r>
              <w:rPr>
                <w:rFonts w:eastAsia="Times New Roman" w:cstheme="minorHAnsi"/>
                <w:kern w:val="0"/>
                <w:lang w:eastAsia="en-GB"/>
                <w14:ligatures w14:val="none"/>
              </w:rPr>
              <w:t>Section 6.1 requires institutions to develop transition plans that specify the strategic actions and risk management tools deployed by institutions to demonstrate how they ensure their robustness towards ESG risks and preparedness for the transition towards a more sustainable economy.</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547CCC8D" w:rsidR="008C4722" w:rsidRPr="00CF2E7C" w:rsidRDefault="00E67F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2C016E9" w:rsidR="008C4722" w:rsidRPr="00CF2E7C" w:rsidRDefault="00E67F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C08D686" w14:textId="1DEEC7CB" w:rsidR="00E67FFD" w:rsidRDefault="00E67FFD" w:rsidP="00E67FFD">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For Pillar 2, section 4.1 requires an institution’s materiality assessment of ESG risk be integrated into the internal capital adequacy assessment process (“ICAAP”) mandated under Pillar 2. Section 5.5 requires institutions to incorporate material ESG risks and their impacts on financial risk categories into their ICAAP to assess the amounts, types and distribution of internal capital that they consider adequate to cover the ESG risks. </w:t>
            </w:r>
          </w:p>
          <w:p w14:paraId="19A08324" w14:textId="7291B46A" w:rsidR="008C4722" w:rsidRPr="00CF2E7C" w:rsidRDefault="00E67FFD" w:rsidP="00E67FFD">
            <w:pPr>
              <w:textAlignment w:val="baseline"/>
              <w:rPr>
                <w:rFonts w:ascii="Calibri" w:eastAsia="Times New Roman" w:hAnsi="Calibri" w:cs="Calibri"/>
                <w:kern w:val="0"/>
                <w:lang w:eastAsia="en-GB"/>
                <w14:ligatures w14:val="none"/>
              </w:rPr>
            </w:pPr>
            <w:r>
              <w:rPr>
                <w:rFonts w:eastAsia="Times New Roman" w:cstheme="minorHAnsi"/>
                <w:kern w:val="0"/>
                <w:lang w:eastAsia="en-GB"/>
                <w14:ligatures w14:val="none"/>
              </w:rPr>
              <w:t>For Pillar 3, the Annex links requirements of the transition plan under the policy tool to Pillar 3’s existing requirements, mandating institutions to ensure consistency and interconnections.</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901C59" w:rsidR="007B7DEE" w:rsidRPr="00CF2E7C" w:rsidRDefault="00E67F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699C4158" w:rsidR="00ED7E12" w:rsidRPr="00CF2E7C" w:rsidRDefault="00E67F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2A83C3F5" w:rsidR="00ED7E12" w:rsidRPr="00CF2E7C" w:rsidRDefault="00E67F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7D4D0AE" w14:textId="5EBA37AF" w:rsidR="00E67FFD" w:rsidRDefault="00E67FFD" w:rsidP="00E67FFD">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Section 2.2 of Background and Rationale explains that under the </w:t>
            </w:r>
            <w:r w:rsidR="00171F69">
              <w:rPr>
                <w:rFonts w:eastAsia="Times New Roman" w:cstheme="minorHAnsi"/>
                <w:kern w:val="0"/>
                <w:lang w:eastAsia="en-GB"/>
                <w14:ligatures w14:val="none"/>
              </w:rPr>
              <w:t>amended</w:t>
            </w:r>
            <w:r>
              <w:rPr>
                <w:rFonts w:eastAsia="Times New Roman" w:cstheme="minorHAnsi"/>
                <w:kern w:val="0"/>
                <w:lang w:eastAsia="en-GB"/>
                <w14:ligatures w14:val="none"/>
              </w:rPr>
              <w:t xml:space="preserve"> CRD, national competent authorities must ensure that financial institutions under their supervision implement these guidelines. They must assess financial institution’s ESG risk management plan as part of the supervisory review and evaluation process.</w:t>
            </w:r>
          </w:p>
          <w:p w14:paraId="42FF8A1B" w14:textId="768728B4" w:rsidR="00ED7E12" w:rsidRPr="00E67FFD" w:rsidRDefault="00E67FFD" w:rsidP="00E67FFD">
            <w:pPr>
              <w:textAlignment w:val="baseline"/>
              <w:rPr>
                <w:rFonts w:eastAsia="Times New Roman" w:cstheme="minorHAnsi"/>
                <w:kern w:val="0"/>
                <w:lang w:eastAsia="en-GB"/>
                <w14:ligatures w14:val="none"/>
              </w:rPr>
            </w:pPr>
            <w:r w:rsidRPr="002927FD">
              <w:rPr>
                <w:rFonts w:eastAsia="Times New Roman" w:cstheme="minorHAnsi"/>
                <w:kern w:val="0"/>
                <w:lang w:eastAsia="en-GB"/>
                <w14:ligatures w14:val="none"/>
              </w:rPr>
              <w:t>According to Article 16(3) of Regulation (EU) No 1093/2010, competent authorities must notify the EBA as to whether they comply or intend to comply with these guidelines, or otherwise with reasons for non-compliance, by [dd.mm.yyyy].</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6D87A869" w:rsidR="00702413" w:rsidRPr="00CF2E7C" w:rsidRDefault="00E67F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3348C6C2" w:rsidR="00702413" w:rsidRPr="00CF2E7C" w:rsidRDefault="00E67F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687CA050" w:rsidR="00702413" w:rsidRPr="00CF2E7C" w:rsidRDefault="00E67F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1453AFA5" w:rsidR="00702413" w:rsidRPr="00CF2E7C" w:rsidRDefault="00E67F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57DB973C" w:rsidR="00702413" w:rsidRPr="00CF2E7C" w:rsidRDefault="00E67F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6B15D0B" w:rsidR="00702413" w:rsidRPr="00CF2E7C" w:rsidRDefault="00E67F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1F804586" w:rsidR="00702413" w:rsidRPr="00CF2E7C" w:rsidRDefault="00E67F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41B7169E" w:rsidR="00C82860" w:rsidRPr="00CF2E7C" w:rsidRDefault="00BE15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5F2C269D" w:rsidR="00C82860" w:rsidRPr="00CF2E7C" w:rsidRDefault="00BE15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73BA0EDD" w:rsidR="00C82860" w:rsidRPr="00CF2E7C" w:rsidRDefault="00BE15A1" w:rsidP="00CF2E7C">
            <w:pPr>
              <w:textAlignment w:val="baseline"/>
              <w:rPr>
                <w:rFonts w:ascii="Calibri" w:eastAsia="Times New Roman" w:hAnsi="Calibri" w:cs="Calibri"/>
                <w:kern w:val="0"/>
                <w:lang w:eastAsia="en-GB"/>
                <w14:ligatures w14:val="none"/>
              </w:rPr>
            </w:pPr>
            <w:r>
              <w:rPr>
                <w:rFonts w:eastAsia="Times New Roman" w:cstheme="minorHAnsi"/>
                <w:kern w:val="0"/>
                <w:lang w:eastAsia="en-GB"/>
                <w14:ligatures w14:val="none"/>
              </w:rPr>
              <w:t>This policy tool</w:t>
            </w:r>
            <w:r w:rsidRPr="000E6F43">
              <w:rPr>
                <w:rFonts w:eastAsia="Times New Roman" w:cstheme="minorHAnsi"/>
                <w:kern w:val="0"/>
                <w:lang w:eastAsia="en-GB"/>
                <w14:ligatures w14:val="none"/>
              </w:rPr>
              <w:t xml:space="preserve"> </w:t>
            </w:r>
            <w:r>
              <w:rPr>
                <w:rFonts w:eastAsia="Times New Roman" w:cstheme="minorHAnsi"/>
                <w:kern w:val="0"/>
                <w:lang w:eastAsia="en-GB"/>
                <w14:ligatures w14:val="none"/>
              </w:rPr>
              <w:t xml:space="preserve">requires </w:t>
            </w:r>
            <w:r w:rsidRPr="000E6F43">
              <w:rPr>
                <w:rFonts w:eastAsia="Times New Roman" w:cstheme="minorHAnsi"/>
                <w:kern w:val="0"/>
                <w:lang w:eastAsia="en-GB"/>
                <w14:ligatures w14:val="none"/>
              </w:rPr>
              <w:t xml:space="preserve">institutions </w:t>
            </w:r>
            <w:r>
              <w:rPr>
                <w:rFonts w:eastAsia="Times New Roman" w:cstheme="minorHAnsi"/>
                <w:kern w:val="0"/>
                <w:lang w:eastAsia="en-GB"/>
                <w14:ligatures w14:val="none"/>
              </w:rPr>
              <w:t xml:space="preserve">to </w:t>
            </w:r>
            <w:r w:rsidRPr="000E6F43">
              <w:rPr>
                <w:rFonts w:eastAsia="Times New Roman" w:cstheme="minorHAnsi"/>
                <w:kern w:val="0"/>
                <w:lang w:eastAsia="en-GB"/>
                <w14:ligatures w14:val="none"/>
              </w:rPr>
              <w:t>assess the ESG risk profile of new clients and transactions during the credit-granting and onboarding process. This includes evaluating physical and transition risk drivers, using internal classification systems, and engaging with counterparties. Institutions should integrate these assessments into loan origination and monitoring, relying on both client-level and asset-level ESG data</w:t>
            </w:r>
            <w:r>
              <w:rPr>
                <w:rFonts w:eastAsia="Times New Roman" w:cstheme="minorHAnsi"/>
                <w:kern w:val="0"/>
                <w:lang w:eastAsia="en-GB"/>
                <w14:ligatures w14:val="none"/>
              </w:rPr>
              <w:t xml:space="preserve"> </w:t>
            </w:r>
            <w:r w:rsidRPr="00BE15A1">
              <w:rPr>
                <w:rFonts w:eastAsia="Times New Roman" w:cstheme="minorHAnsi"/>
                <w:kern w:val="0"/>
                <w:lang w:eastAsia="en-GB"/>
                <w14:ligatures w14:val="none"/>
              </w:rPr>
              <w:t>(Sections 4.2.3; 5.2.3; 7)</w:t>
            </w:r>
            <w:r>
              <w:rPr>
                <w:rFonts w:eastAsia="Times New Roman" w:cstheme="minorHAnsi"/>
                <w:kern w:val="0"/>
                <w:lang w:eastAsia="en-GB"/>
                <w14:ligatures w14:val="none"/>
              </w:rPr>
              <w:t>.</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7E5DB58D" w:rsidR="00C82860" w:rsidRPr="00CF2E7C" w:rsidRDefault="00BE15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7797AD09" w:rsidR="00C82860" w:rsidRPr="00CF2E7C" w:rsidRDefault="00BE15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03022D3A" w:rsidR="00C82860" w:rsidRPr="00CF2E7C" w:rsidRDefault="00BE15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621B21F1" w:rsidR="00C82860" w:rsidRPr="00CF2E7C" w:rsidRDefault="00BE15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3C98078" w:rsidR="00C82860" w:rsidRPr="00CF2E7C" w:rsidRDefault="00BE15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073EC8B" w14:textId="77777777" w:rsidR="00BE15A1" w:rsidRDefault="00BE15A1" w:rsidP="00BE15A1">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Section 5.7 outlines the ESG risk metrics and indicators that large institutions should at least monitor: </w:t>
            </w:r>
          </w:p>
          <w:p w14:paraId="4A46597A" w14:textId="77777777" w:rsidR="00BE15A1" w:rsidRDefault="00BE15A1" w:rsidP="00BE15A1">
            <w:pPr>
              <w:pStyle w:val="ListParagraph"/>
              <w:numPr>
                <w:ilvl w:val="0"/>
                <w:numId w:val="49"/>
              </w:numPr>
              <w:spacing w:before="0" w:after="0"/>
              <w:textAlignment w:val="baseline"/>
              <w:rPr>
                <w:rFonts w:eastAsia="Times New Roman" w:cstheme="minorHAnsi"/>
                <w:kern w:val="0"/>
                <w:lang w:eastAsia="en-GB"/>
                <w14:ligatures w14:val="none"/>
              </w:rPr>
            </w:pPr>
            <w:r w:rsidRPr="000810FC">
              <w:rPr>
                <w:rFonts w:eastAsia="Times New Roman" w:cstheme="minorHAnsi"/>
                <w:kern w:val="0"/>
                <w:lang w:eastAsia="en-GB"/>
                <w14:ligatures w14:val="none"/>
              </w:rPr>
              <w:t xml:space="preserve">Exposure to High-Carbon Sectors: </w:t>
            </w:r>
            <w:r>
              <w:rPr>
                <w:rFonts w:eastAsia="Times New Roman" w:cstheme="minorHAnsi"/>
                <w:kern w:val="0"/>
                <w:lang w:eastAsia="en-GB"/>
                <w14:ligatures w14:val="none"/>
              </w:rPr>
              <w:t>m</w:t>
            </w:r>
            <w:r w:rsidRPr="000810FC">
              <w:rPr>
                <w:rFonts w:eastAsia="Times New Roman" w:cstheme="minorHAnsi"/>
                <w:kern w:val="0"/>
                <w:lang w:eastAsia="en-GB"/>
                <w14:ligatures w14:val="none"/>
              </w:rPr>
              <w:t>onitor exposures and income from sectors contributing significantly to climate change, with granular sectoral differentiation.</w:t>
            </w:r>
          </w:p>
          <w:p w14:paraId="07E37404" w14:textId="77777777" w:rsidR="00BE15A1" w:rsidRDefault="00BE15A1" w:rsidP="00BE15A1">
            <w:pPr>
              <w:pStyle w:val="ListParagraph"/>
              <w:numPr>
                <w:ilvl w:val="0"/>
                <w:numId w:val="49"/>
              </w:numPr>
              <w:spacing w:before="0" w:after="0"/>
              <w:textAlignment w:val="baseline"/>
              <w:rPr>
                <w:rFonts w:eastAsia="Times New Roman" w:cstheme="minorHAnsi"/>
                <w:kern w:val="0"/>
                <w:lang w:eastAsia="en-GB"/>
                <w14:ligatures w14:val="none"/>
              </w:rPr>
            </w:pPr>
            <w:r w:rsidRPr="000810FC">
              <w:rPr>
                <w:rFonts w:eastAsia="Times New Roman" w:cstheme="minorHAnsi"/>
                <w:kern w:val="0"/>
                <w:lang w:eastAsia="en-GB"/>
                <w14:ligatures w14:val="none"/>
              </w:rPr>
              <w:lastRenderedPageBreak/>
              <w:t xml:space="preserve">Portfolio Alignment: </w:t>
            </w:r>
            <w:r>
              <w:rPr>
                <w:rFonts w:eastAsia="Times New Roman" w:cstheme="minorHAnsi"/>
                <w:kern w:val="0"/>
                <w:lang w:eastAsia="en-GB"/>
                <w14:ligatures w14:val="none"/>
              </w:rPr>
              <w:t>t</w:t>
            </w:r>
            <w:r w:rsidRPr="000810FC">
              <w:rPr>
                <w:rFonts w:eastAsia="Times New Roman" w:cstheme="minorHAnsi"/>
                <w:kern w:val="0"/>
                <w:lang w:eastAsia="en-GB"/>
                <w14:ligatures w14:val="none"/>
              </w:rPr>
              <w:t>rack how exposures and client production capacities align with climate objectives.</w:t>
            </w:r>
          </w:p>
          <w:p w14:paraId="3BE67700" w14:textId="77777777" w:rsidR="00BE15A1" w:rsidRDefault="00BE15A1" w:rsidP="00BE15A1">
            <w:pPr>
              <w:pStyle w:val="ListParagraph"/>
              <w:numPr>
                <w:ilvl w:val="0"/>
                <w:numId w:val="49"/>
              </w:numPr>
              <w:spacing w:before="0" w:after="0"/>
              <w:textAlignment w:val="baseline"/>
              <w:rPr>
                <w:rFonts w:eastAsia="Times New Roman" w:cstheme="minorHAnsi"/>
                <w:kern w:val="0"/>
                <w:lang w:eastAsia="en-GB"/>
                <w14:ligatures w14:val="none"/>
              </w:rPr>
            </w:pPr>
            <w:r w:rsidRPr="000810FC">
              <w:rPr>
                <w:rFonts w:eastAsia="Times New Roman" w:cstheme="minorHAnsi"/>
                <w:kern w:val="0"/>
                <w:lang w:eastAsia="en-GB"/>
                <w14:ligatures w14:val="none"/>
              </w:rPr>
              <w:t xml:space="preserve">Financed GHG Emissions: </w:t>
            </w:r>
            <w:r>
              <w:rPr>
                <w:rFonts w:eastAsia="Times New Roman" w:cstheme="minorHAnsi"/>
                <w:kern w:val="0"/>
                <w:lang w:eastAsia="en-GB"/>
                <w14:ligatures w14:val="none"/>
              </w:rPr>
              <w:t>m</w:t>
            </w:r>
            <w:r w:rsidRPr="000810FC">
              <w:rPr>
                <w:rFonts w:eastAsia="Times New Roman" w:cstheme="minorHAnsi"/>
                <w:kern w:val="0"/>
                <w:lang w:eastAsia="en-GB"/>
                <w14:ligatures w14:val="none"/>
              </w:rPr>
              <w:t>easure financed emissions (Scope 1, 2, and 3) by sector, including intensity metrics where relevant.</w:t>
            </w:r>
          </w:p>
          <w:p w14:paraId="137001A9" w14:textId="77777777" w:rsidR="00BE15A1" w:rsidRDefault="00BE15A1" w:rsidP="00BE15A1">
            <w:pPr>
              <w:pStyle w:val="ListParagraph"/>
              <w:numPr>
                <w:ilvl w:val="0"/>
                <w:numId w:val="49"/>
              </w:numPr>
              <w:spacing w:before="0" w:after="0"/>
              <w:textAlignment w:val="baseline"/>
              <w:rPr>
                <w:rFonts w:eastAsia="Times New Roman" w:cstheme="minorHAnsi"/>
                <w:kern w:val="0"/>
                <w:lang w:eastAsia="en-GB"/>
                <w14:ligatures w14:val="none"/>
              </w:rPr>
            </w:pPr>
            <w:r w:rsidRPr="000810FC">
              <w:rPr>
                <w:rFonts w:eastAsia="Times New Roman" w:cstheme="minorHAnsi"/>
                <w:kern w:val="0"/>
                <w:lang w:eastAsia="en-GB"/>
                <w14:ligatures w14:val="none"/>
              </w:rPr>
              <w:t xml:space="preserve">Transition Strategy Progress: </w:t>
            </w:r>
            <w:r>
              <w:rPr>
                <w:rFonts w:eastAsia="Times New Roman" w:cstheme="minorHAnsi"/>
                <w:kern w:val="0"/>
                <w:lang w:eastAsia="en-GB"/>
                <w14:ligatures w14:val="none"/>
              </w:rPr>
              <w:t>m</w:t>
            </w:r>
            <w:r w:rsidRPr="000810FC">
              <w:rPr>
                <w:rFonts w:eastAsia="Times New Roman" w:cstheme="minorHAnsi"/>
                <w:kern w:val="0"/>
                <w:lang w:eastAsia="en-GB"/>
                <w14:ligatures w14:val="none"/>
              </w:rPr>
              <w:t>onitor implementation of key financing strategies for ESG risk resilience and sustainable economy transition.</w:t>
            </w:r>
          </w:p>
          <w:p w14:paraId="4AFC6EE2" w14:textId="77777777" w:rsidR="00BE15A1" w:rsidRDefault="00BE15A1" w:rsidP="00BE15A1">
            <w:pPr>
              <w:pStyle w:val="ListParagraph"/>
              <w:numPr>
                <w:ilvl w:val="0"/>
                <w:numId w:val="49"/>
              </w:numPr>
              <w:spacing w:before="0" w:after="0"/>
              <w:textAlignment w:val="baseline"/>
              <w:rPr>
                <w:rFonts w:eastAsia="Times New Roman" w:cstheme="minorHAnsi"/>
                <w:kern w:val="0"/>
                <w:lang w:eastAsia="en-GB"/>
                <w14:ligatures w14:val="none"/>
              </w:rPr>
            </w:pPr>
            <w:r w:rsidRPr="000810FC">
              <w:rPr>
                <w:rFonts w:eastAsia="Times New Roman" w:cstheme="minorHAnsi"/>
                <w:kern w:val="0"/>
                <w:lang w:eastAsia="en-GB"/>
                <w14:ligatures w14:val="none"/>
              </w:rPr>
              <w:t xml:space="preserve">Client Engagement: </w:t>
            </w:r>
            <w:r>
              <w:rPr>
                <w:rFonts w:eastAsia="Times New Roman" w:cstheme="minorHAnsi"/>
                <w:kern w:val="0"/>
                <w:lang w:eastAsia="en-GB"/>
                <w14:ligatures w14:val="none"/>
              </w:rPr>
              <w:t>t</w:t>
            </w:r>
            <w:r w:rsidRPr="000810FC">
              <w:rPr>
                <w:rFonts w:eastAsia="Times New Roman" w:cstheme="minorHAnsi"/>
                <w:kern w:val="0"/>
                <w:lang w:eastAsia="en-GB"/>
                <w14:ligatures w14:val="none"/>
              </w:rPr>
              <w:t>rack the percentage of counterparties assessed for ESG risks and the outcomes of these engagements.</w:t>
            </w:r>
          </w:p>
          <w:p w14:paraId="5136C0AC" w14:textId="77777777" w:rsidR="00BE15A1" w:rsidRDefault="00BE15A1" w:rsidP="00BE15A1">
            <w:pPr>
              <w:pStyle w:val="ListParagraph"/>
              <w:numPr>
                <w:ilvl w:val="0"/>
                <w:numId w:val="49"/>
              </w:numPr>
              <w:spacing w:before="0" w:after="0"/>
              <w:textAlignment w:val="baseline"/>
              <w:rPr>
                <w:rFonts w:eastAsia="Times New Roman" w:cstheme="minorHAnsi"/>
                <w:kern w:val="0"/>
                <w:lang w:eastAsia="en-GB"/>
                <w14:ligatures w14:val="none"/>
              </w:rPr>
            </w:pPr>
            <w:r w:rsidRPr="000810FC">
              <w:rPr>
                <w:rFonts w:eastAsia="Times New Roman" w:cstheme="minorHAnsi"/>
                <w:kern w:val="0"/>
                <w:lang w:eastAsia="en-GB"/>
                <w14:ligatures w14:val="none"/>
              </w:rPr>
              <w:t xml:space="preserve">Real Estate Energy Efficiency: </w:t>
            </w:r>
            <w:r>
              <w:rPr>
                <w:rFonts w:eastAsia="Times New Roman" w:cstheme="minorHAnsi"/>
                <w:kern w:val="0"/>
                <w:lang w:eastAsia="en-GB"/>
                <w14:ligatures w14:val="none"/>
              </w:rPr>
              <w:t>b</w:t>
            </w:r>
            <w:r w:rsidRPr="000810FC">
              <w:rPr>
                <w:rFonts w:eastAsia="Times New Roman" w:cstheme="minorHAnsi"/>
                <w:kern w:val="0"/>
                <w:lang w:eastAsia="en-GB"/>
                <w14:ligatures w14:val="none"/>
              </w:rPr>
              <w:t>reak down real estate portfolios by energy efficiency levels of collateral.</w:t>
            </w:r>
          </w:p>
          <w:p w14:paraId="3C8A67E4" w14:textId="77777777" w:rsidR="00BE15A1" w:rsidRDefault="00BE15A1" w:rsidP="00BE15A1">
            <w:pPr>
              <w:pStyle w:val="ListParagraph"/>
              <w:numPr>
                <w:ilvl w:val="0"/>
                <w:numId w:val="49"/>
              </w:numPr>
              <w:spacing w:before="0" w:after="0"/>
              <w:textAlignment w:val="baseline"/>
              <w:rPr>
                <w:rFonts w:eastAsia="Times New Roman" w:cstheme="minorHAnsi"/>
                <w:kern w:val="0"/>
                <w:lang w:eastAsia="en-GB"/>
                <w14:ligatures w14:val="none"/>
              </w:rPr>
            </w:pPr>
            <w:r w:rsidRPr="000810FC">
              <w:rPr>
                <w:rFonts w:eastAsia="Times New Roman" w:cstheme="minorHAnsi"/>
                <w:kern w:val="0"/>
                <w:lang w:eastAsia="en-GB"/>
                <w14:ligatures w14:val="none"/>
              </w:rPr>
              <w:t xml:space="preserve">Low-Carbon vs Fossil Fuel Financing: </w:t>
            </w:r>
            <w:r>
              <w:rPr>
                <w:rFonts w:eastAsia="Times New Roman" w:cstheme="minorHAnsi"/>
                <w:kern w:val="0"/>
                <w:lang w:eastAsia="en-GB"/>
                <w14:ligatures w14:val="none"/>
              </w:rPr>
              <w:t>c</w:t>
            </w:r>
            <w:r w:rsidRPr="000810FC">
              <w:rPr>
                <w:rFonts w:eastAsia="Times New Roman" w:cstheme="minorHAnsi"/>
                <w:kern w:val="0"/>
                <w:lang w:eastAsia="en-GB"/>
                <w14:ligatures w14:val="none"/>
              </w:rPr>
              <w:t>ompare financing ratios between low-carbon and fossil-fuel energy technologies.</w:t>
            </w:r>
          </w:p>
          <w:p w14:paraId="24C074C4" w14:textId="77777777" w:rsidR="00BE15A1" w:rsidRDefault="00BE15A1" w:rsidP="00BE15A1">
            <w:pPr>
              <w:pStyle w:val="ListParagraph"/>
              <w:numPr>
                <w:ilvl w:val="0"/>
                <w:numId w:val="49"/>
              </w:numPr>
              <w:spacing w:before="0" w:after="0"/>
              <w:textAlignment w:val="baseline"/>
              <w:rPr>
                <w:rFonts w:eastAsia="Times New Roman" w:cstheme="minorHAnsi"/>
                <w:kern w:val="0"/>
                <w:lang w:eastAsia="en-GB"/>
                <w14:ligatures w14:val="none"/>
              </w:rPr>
            </w:pPr>
            <w:r w:rsidRPr="000810FC">
              <w:rPr>
                <w:rFonts w:eastAsia="Times New Roman" w:cstheme="minorHAnsi"/>
                <w:kern w:val="0"/>
                <w:lang w:eastAsia="en-GB"/>
                <w14:ligatures w14:val="none"/>
              </w:rPr>
              <w:t xml:space="preserve">Green Asset Ratio: </w:t>
            </w:r>
            <w:r>
              <w:rPr>
                <w:rFonts w:eastAsia="Times New Roman" w:cstheme="minorHAnsi"/>
                <w:kern w:val="0"/>
                <w:lang w:eastAsia="en-GB"/>
                <w14:ligatures w14:val="none"/>
              </w:rPr>
              <w:t>m</w:t>
            </w:r>
            <w:r w:rsidRPr="000810FC">
              <w:rPr>
                <w:rFonts w:eastAsia="Times New Roman" w:cstheme="minorHAnsi"/>
                <w:kern w:val="0"/>
                <w:lang w:eastAsia="en-GB"/>
                <w14:ligatures w14:val="none"/>
              </w:rPr>
              <w:t>easure environmentally sustainable exposures relative to GHG-intense exposures.</w:t>
            </w:r>
          </w:p>
          <w:p w14:paraId="064C3C01" w14:textId="77777777" w:rsidR="00BE15A1" w:rsidRDefault="00BE15A1" w:rsidP="00BE15A1">
            <w:pPr>
              <w:pStyle w:val="ListParagraph"/>
              <w:numPr>
                <w:ilvl w:val="0"/>
                <w:numId w:val="49"/>
              </w:numPr>
              <w:spacing w:before="0" w:after="0"/>
              <w:textAlignment w:val="baseline"/>
              <w:rPr>
                <w:rFonts w:eastAsia="Times New Roman" w:cstheme="minorHAnsi"/>
                <w:kern w:val="0"/>
                <w:lang w:eastAsia="en-GB"/>
                <w14:ligatures w14:val="none"/>
              </w:rPr>
            </w:pPr>
            <w:r w:rsidRPr="000810FC">
              <w:rPr>
                <w:rFonts w:eastAsia="Times New Roman" w:cstheme="minorHAnsi"/>
                <w:kern w:val="0"/>
                <w:lang w:eastAsia="en-GB"/>
                <w14:ligatures w14:val="none"/>
              </w:rPr>
              <w:t xml:space="preserve">Physical Risk Exposure: </w:t>
            </w:r>
            <w:r>
              <w:rPr>
                <w:rFonts w:eastAsia="Times New Roman" w:cstheme="minorHAnsi"/>
                <w:kern w:val="0"/>
                <w:lang w:eastAsia="en-GB"/>
                <w14:ligatures w14:val="none"/>
              </w:rPr>
              <w:t>a</w:t>
            </w:r>
            <w:r w:rsidRPr="000810FC">
              <w:rPr>
                <w:rFonts w:eastAsia="Times New Roman" w:cstheme="minorHAnsi"/>
                <w:kern w:val="0"/>
                <w:lang w:eastAsia="en-GB"/>
                <w14:ligatures w14:val="none"/>
              </w:rPr>
              <w:t>ssess levels of physical risk exposure across various scenarios and hazards.</w:t>
            </w:r>
          </w:p>
          <w:p w14:paraId="35A699B4" w14:textId="77777777" w:rsidR="00BE15A1" w:rsidRDefault="00BE15A1" w:rsidP="00BE15A1">
            <w:pPr>
              <w:pStyle w:val="ListParagraph"/>
              <w:numPr>
                <w:ilvl w:val="0"/>
                <w:numId w:val="49"/>
              </w:numPr>
              <w:spacing w:before="0" w:after="0"/>
              <w:textAlignment w:val="baseline"/>
              <w:rPr>
                <w:rFonts w:eastAsia="Times New Roman" w:cstheme="minorHAnsi"/>
                <w:kern w:val="0"/>
                <w:lang w:eastAsia="en-GB"/>
                <w14:ligatures w14:val="none"/>
              </w:rPr>
            </w:pPr>
            <w:r w:rsidRPr="000810FC">
              <w:rPr>
                <w:rFonts w:eastAsia="Times New Roman" w:cstheme="minorHAnsi"/>
                <w:kern w:val="0"/>
                <w:lang w:eastAsia="en-GB"/>
                <w14:ligatures w14:val="none"/>
              </w:rPr>
              <w:t xml:space="preserve">Concentration Risk: </w:t>
            </w:r>
            <w:r>
              <w:rPr>
                <w:rFonts w:eastAsia="Times New Roman" w:cstheme="minorHAnsi"/>
                <w:kern w:val="0"/>
                <w:lang w:eastAsia="en-GB"/>
                <w14:ligatures w14:val="none"/>
              </w:rPr>
              <w:t>m</w:t>
            </w:r>
            <w:r w:rsidRPr="000810FC">
              <w:rPr>
                <w:rFonts w:eastAsia="Times New Roman" w:cstheme="minorHAnsi"/>
                <w:kern w:val="0"/>
                <w:lang w:eastAsia="en-GB"/>
                <w14:ligatures w14:val="none"/>
              </w:rPr>
              <w:t>easure concentration of exposures to physical and transition risks geographically.</w:t>
            </w:r>
          </w:p>
          <w:p w14:paraId="53634FBA" w14:textId="77777777" w:rsidR="00BE15A1" w:rsidRDefault="00BE15A1" w:rsidP="00BE15A1">
            <w:pPr>
              <w:pStyle w:val="ListParagraph"/>
              <w:numPr>
                <w:ilvl w:val="0"/>
                <w:numId w:val="49"/>
              </w:numPr>
              <w:spacing w:before="0" w:after="0"/>
              <w:textAlignment w:val="baseline"/>
              <w:rPr>
                <w:rFonts w:eastAsia="Times New Roman" w:cstheme="minorHAnsi"/>
                <w:kern w:val="0"/>
                <w:lang w:eastAsia="en-GB"/>
                <w14:ligatures w14:val="none"/>
              </w:rPr>
            </w:pPr>
            <w:r>
              <w:rPr>
                <w:rFonts w:eastAsia="Times New Roman" w:cstheme="minorHAnsi"/>
                <w:kern w:val="0"/>
                <w:lang w:eastAsia="en-GB"/>
                <w14:ligatures w14:val="none"/>
              </w:rPr>
              <w:t>H</w:t>
            </w:r>
            <w:r w:rsidRPr="000810FC">
              <w:rPr>
                <w:rFonts w:eastAsia="Times New Roman" w:cstheme="minorHAnsi"/>
                <w:kern w:val="0"/>
                <w:lang w:eastAsia="en-GB"/>
                <w14:ligatures w14:val="none"/>
              </w:rPr>
              <w:t xml:space="preserve">istorical and Projected Losses: </w:t>
            </w:r>
            <w:r>
              <w:rPr>
                <w:rFonts w:eastAsia="Times New Roman" w:cstheme="minorHAnsi"/>
                <w:kern w:val="0"/>
                <w:lang w:eastAsia="en-GB"/>
                <w14:ligatures w14:val="none"/>
              </w:rPr>
              <w:t>t</w:t>
            </w:r>
            <w:r w:rsidRPr="000810FC">
              <w:rPr>
                <w:rFonts w:eastAsia="Times New Roman" w:cstheme="minorHAnsi"/>
                <w:kern w:val="0"/>
                <w:lang w:eastAsia="en-GB"/>
                <w14:ligatures w14:val="none"/>
              </w:rPr>
              <w:t>rack historical ESG-related losses and estimate future potential losses.</w:t>
            </w:r>
          </w:p>
          <w:p w14:paraId="23F67B66" w14:textId="77777777" w:rsidR="00BE15A1" w:rsidRDefault="00BE15A1" w:rsidP="00BE15A1">
            <w:pPr>
              <w:pStyle w:val="ListParagraph"/>
              <w:numPr>
                <w:ilvl w:val="0"/>
                <w:numId w:val="49"/>
              </w:numPr>
              <w:spacing w:before="0" w:after="0"/>
              <w:textAlignment w:val="baseline"/>
              <w:rPr>
                <w:rFonts w:eastAsia="Times New Roman" w:cstheme="minorHAnsi"/>
                <w:kern w:val="0"/>
                <w:lang w:eastAsia="en-GB"/>
                <w14:ligatures w14:val="none"/>
              </w:rPr>
            </w:pPr>
            <w:r w:rsidRPr="000810FC">
              <w:rPr>
                <w:rFonts w:eastAsia="Times New Roman" w:cstheme="minorHAnsi"/>
                <w:kern w:val="0"/>
                <w:lang w:eastAsia="en-GB"/>
                <w14:ligatures w14:val="none"/>
              </w:rPr>
              <w:t xml:space="preserve">Reputational Risk: </w:t>
            </w:r>
            <w:r>
              <w:rPr>
                <w:rFonts w:eastAsia="Times New Roman" w:cstheme="minorHAnsi"/>
                <w:kern w:val="0"/>
                <w:lang w:eastAsia="en-GB"/>
                <w14:ligatures w14:val="none"/>
              </w:rPr>
              <w:t>m</w:t>
            </w:r>
            <w:r w:rsidRPr="000810FC">
              <w:rPr>
                <w:rFonts w:eastAsia="Times New Roman" w:cstheme="minorHAnsi"/>
                <w:kern w:val="0"/>
                <w:lang w:eastAsia="en-GB"/>
                <w14:ligatures w14:val="none"/>
              </w:rPr>
              <w:t>onitor ESG-related reputational risks and their impacts.</w:t>
            </w:r>
          </w:p>
          <w:p w14:paraId="41E8AFF4" w14:textId="77777777" w:rsidR="00BE15A1" w:rsidRDefault="00BE15A1" w:rsidP="00BE15A1">
            <w:pPr>
              <w:pStyle w:val="ListParagraph"/>
              <w:numPr>
                <w:ilvl w:val="0"/>
                <w:numId w:val="49"/>
              </w:numPr>
              <w:spacing w:before="0" w:after="0"/>
              <w:textAlignment w:val="baseline"/>
              <w:rPr>
                <w:rFonts w:eastAsia="Times New Roman" w:cstheme="minorHAnsi"/>
                <w:kern w:val="0"/>
                <w:lang w:eastAsia="en-GB"/>
                <w14:ligatures w14:val="none"/>
              </w:rPr>
            </w:pPr>
            <w:r w:rsidRPr="000810FC">
              <w:rPr>
                <w:rFonts w:eastAsia="Times New Roman" w:cstheme="minorHAnsi"/>
                <w:kern w:val="0"/>
                <w:lang w:eastAsia="en-GB"/>
                <w14:ligatures w14:val="none"/>
              </w:rPr>
              <w:t xml:space="preserve">Litigation Risk: </w:t>
            </w:r>
            <w:r>
              <w:rPr>
                <w:rFonts w:eastAsia="Times New Roman" w:cstheme="minorHAnsi"/>
                <w:kern w:val="0"/>
                <w:lang w:eastAsia="en-GB"/>
                <w14:ligatures w14:val="none"/>
              </w:rPr>
              <w:t>t</w:t>
            </w:r>
            <w:r w:rsidRPr="000810FC">
              <w:rPr>
                <w:rFonts w:eastAsia="Times New Roman" w:cstheme="minorHAnsi"/>
                <w:kern w:val="0"/>
                <w:lang w:eastAsia="en-GB"/>
                <w14:ligatures w14:val="none"/>
              </w:rPr>
              <w:t>rack ESG-related litigation claims.</w:t>
            </w:r>
          </w:p>
          <w:p w14:paraId="16B2EA73" w14:textId="77777777" w:rsidR="00BE15A1" w:rsidRDefault="00BE15A1" w:rsidP="00BE15A1">
            <w:pPr>
              <w:pStyle w:val="ListParagraph"/>
              <w:numPr>
                <w:ilvl w:val="0"/>
                <w:numId w:val="49"/>
              </w:numPr>
              <w:spacing w:before="0" w:after="0"/>
              <w:textAlignment w:val="baseline"/>
              <w:rPr>
                <w:rFonts w:eastAsia="Times New Roman" w:cstheme="minorHAnsi"/>
                <w:kern w:val="0"/>
                <w:lang w:eastAsia="en-GB"/>
                <w14:ligatures w14:val="none"/>
              </w:rPr>
            </w:pPr>
            <w:r w:rsidRPr="000810FC">
              <w:rPr>
                <w:rFonts w:eastAsia="Times New Roman" w:cstheme="minorHAnsi"/>
                <w:kern w:val="0"/>
                <w:lang w:eastAsia="en-GB"/>
                <w14:ligatures w14:val="none"/>
              </w:rPr>
              <w:t xml:space="preserve">Capacity Building: </w:t>
            </w:r>
            <w:r>
              <w:rPr>
                <w:rFonts w:eastAsia="Times New Roman" w:cstheme="minorHAnsi"/>
                <w:kern w:val="0"/>
                <w:lang w:eastAsia="en-GB"/>
                <w14:ligatures w14:val="none"/>
              </w:rPr>
              <w:t>m</w:t>
            </w:r>
            <w:r w:rsidRPr="000810FC">
              <w:rPr>
                <w:rFonts w:eastAsia="Times New Roman" w:cstheme="minorHAnsi"/>
                <w:kern w:val="0"/>
                <w:lang w:eastAsia="en-GB"/>
                <w14:ligatures w14:val="none"/>
              </w:rPr>
              <w:t>easure progress in ESG risk-related training and capacity building.</w:t>
            </w:r>
          </w:p>
          <w:p w14:paraId="72B83E61" w14:textId="77777777" w:rsidR="00BE15A1" w:rsidRDefault="00BE15A1" w:rsidP="00BE15A1">
            <w:pPr>
              <w:pStyle w:val="ListParagraph"/>
              <w:numPr>
                <w:ilvl w:val="0"/>
                <w:numId w:val="49"/>
              </w:numPr>
              <w:spacing w:before="0" w:after="0"/>
              <w:textAlignment w:val="baseline"/>
              <w:rPr>
                <w:rFonts w:eastAsia="Times New Roman" w:cstheme="minorHAnsi"/>
                <w:kern w:val="0"/>
                <w:lang w:eastAsia="en-GB"/>
                <w14:ligatures w14:val="none"/>
              </w:rPr>
            </w:pPr>
            <w:r w:rsidRPr="000810FC">
              <w:rPr>
                <w:rFonts w:eastAsia="Times New Roman" w:cstheme="minorHAnsi"/>
                <w:kern w:val="0"/>
                <w:lang w:eastAsia="en-GB"/>
                <w14:ligatures w14:val="none"/>
              </w:rPr>
              <w:t xml:space="preserve">Non-Climate Environmental Factors: </w:t>
            </w:r>
            <w:r>
              <w:rPr>
                <w:rFonts w:eastAsia="Times New Roman" w:cstheme="minorHAnsi"/>
                <w:kern w:val="0"/>
                <w:lang w:eastAsia="en-GB"/>
                <w14:ligatures w14:val="none"/>
              </w:rPr>
              <w:t>m</w:t>
            </w:r>
            <w:r w:rsidRPr="000810FC">
              <w:rPr>
                <w:rFonts w:eastAsia="Times New Roman" w:cstheme="minorHAnsi"/>
                <w:kern w:val="0"/>
                <w:lang w:eastAsia="en-GB"/>
                <w14:ligatures w14:val="none"/>
              </w:rPr>
              <w:t>onitor impacts on ecosystem services and biodiversity.</w:t>
            </w:r>
          </w:p>
          <w:p w14:paraId="593BA361" w14:textId="01169BE4" w:rsidR="00C82860" w:rsidRPr="00BE15A1" w:rsidRDefault="00BE15A1" w:rsidP="00BE15A1">
            <w:pPr>
              <w:pStyle w:val="ListParagraph"/>
              <w:numPr>
                <w:ilvl w:val="0"/>
                <w:numId w:val="49"/>
              </w:numPr>
              <w:spacing w:before="0" w:after="0"/>
              <w:textAlignment w:val="baseline"/>
              <w:rPr>
                <w:rFonts w:eastAsia="Times New Roman" w:cstheme="minorHAnsi"/>
                <w:kern w:val="0"/>
                <w:lang w:eastAsia="en-GB"/>
                <w14:ligatures w14:val="none"/>
              </w:rPr>
            </w:pPr>
            <w:r w:rsidRPr="00BE15A1">
              <w:rPr>
                <w:rFonts w:eastAsia="Times New Roman" w:cstheme="minorHAnsi"/>
                <w:kern w:val="0"/>
                <w:lang w:eastAsia="en-GB"/>
                <w14:ligatures w14:val="none"/>
              </w:rPr>
              <w:t xml:space="preserve">Target Progress: </w:t>
            </w:r>
            <w:r>
              <w:rPr>
                <w:rFonts w:eastAsia="Times New Roman" w:cstheme="minorHAnsi"/>
                <w:kern w:val="0"/>
                <w:lang w:eastAsia="en-GB"/>
                <w14:ligatures w14:val="none"/>
              </w:rPr>
              <w:t>t</w:t>
            </w:r>
            <w:r w:rsidRPr="00BE15A1">
              <w:rPr>
                <w:rFonts w:eastAsia="Times New Roman" w:cstheme="minorHAnsi"/>
                <w:kern w:val="0"/>
                <w:lang w:eastAsia="en-GB"/>
                <w14:ligatures w14:val="none"/>
              </w:rPr>
              <w:t>rack progress against all ESG-related targets and commitments.</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5B671FD1" w:rsidR="00655FF7" w:rsidRPr="00CF2E7C" w:rsidRDefault="00BE15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1E3C724A" w:rsidR="003032A9" w:rsidRPr="00CF2E7C" w:rsidRDefault="00BE15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38F73281" w:rsidR="003D5104" w:rsidRPr="00CF2E7C" w:rsidRDefault="00BE15A1" w:rsidP="00EE009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guidelines do not specify scenarios</w:t>
            </w:r>
            <w:r w:rsidR="00A705CD">
              <w:rPr>
                <w:rFonts w:ascii="Calibri" w:eastAsia="Times New Roman" w:hAnsi="Calibri" w:cs="Calibri"/>
                <w:kern w:val="0"/>
                <w:lang w:eastAsia="en-GB"/>
                <w14:ligatures w14:val="none"/>
              </w:rPr>
              <w:t xml:space="preserve"> for stress testing</w:t>
            </w:r>
            <w:r>
              <w:rPr>
                <w:rFonts w:ascii="Calibri" w:eastAsia="Times New Roman" w:hAnsi="Calibri" w:cs="Calibri"/>
                <w:kern w:val="0"/>
                <w:lang w:eastAsia="en-GB"/>
                <w14:ligatures w14:val="none"/>
              </w:rPr>
              <w:t xml:space="preserve">. </w:t>
            </w:r>
            <w:r w:rsidR="00EE0090">
              <w:rPr>
                <w:rFonts w:ascii="Calibri" w:eastAsia="Times New Roman" w:hAnsi="Calibri" w:cs="Calibri"/>
                <w:kern w:val="0"/>
                <w:lang w:eastAsia="en-GB"/>
                <w14:ligatures w14:val="none"/>
              </w:rPr>
              <w:t xml:space="preserve">They only state that institutions </w:t>
            </w:r>
            <w:r w:rsidR="00EE0090" w:rsidRPr="00EE0090">
              <w:rPr>
                <w:rFonts w:ascii="Calibri" w:eastAsia="Times New Roman" w:hAnsi="Calibri" w:cs="Calibri"/>
                <w:kern w:val="0"/>
                <w:lang w:eastAsia="en-GB"/>
                <w14:ligatures w14:val="none"/>
              </w:rPr>
              <w:t>should consider insights gained from a combination of forward-looking risk assessment methods, including</w:t>
            </w:r>
            <w:r w:rsidR="00EE0090">
              <w:rPr>
                <w:rFonts w:ascii="Calibri" w:eastAsia="Times New Roman" w:hAnsi="Calibri" w:cs="Calibri"/>
                <w:kern w:val="0"/>
                <w:lang w:eastAsia="en-GB"/>
                <w14:ligatures w14:val="none"/>
              </w:rPr>
              <w:t xml:space="preserve"> </w:t>
            </w:r>
            <w:r w:rsidR="00EE0090" w:rsidRPr="00EE0090">
              <w:rPr>
                <w:rFonts w:ascii="Calibri" w:eastAsia="Times New Roman" w:hAnsi="Calibri" w:cs="Calibri"/>
                <w:kern w:val="0"/>
                <w:lang w:eastAsia="en-GB"/>
                <w14:ligatures w14:val="none"/>
              </w:rPr>
              <w:t>climate or environmental stress tests performed by the institution</w:t>
            </w:r>
            <w:r w:rsidR="00EE0090">
              <w:rPr>
                <w:rFonts w:ascii="Calibri" w:eastAsia="Times New Roman" w:hAnsi="Calibri" w:cs="Calibri"/>
                <w:kern w:val="0"/>
                <w:lang w:eastAsia="en-GB"/>
                <w14:ligatures w14:val="none"/>
              </w:rPr>
              <w:t>.</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08F900E5" w:rsidR="00BE1F9E" w:rsidRPr="00CF2E7C" w:rsidRDefault="0095348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8A3EB6">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082CAB5A" w14:textId="76BB0121" w:rsidR="00BE1F9E" w:rsidRPr="00CF2E7C" w:rsidRDefault="00BE1F9E" w:rsidP="00CF2E7C">
            <w:pPr>
              <w:textAlignment w:val="baseline"/>
              <w:rPr>
                <w:rFonts w:ascii="Calibri" w:eastAsia="Times New Roman" w:hAnsi="Calibri" w:cs="Calibri"/>
                <w:kern w:val="0"/>
                <w:lang w:eastAsia="en-GB"/>
                <w14:ligatures w14:val="none"/>
              </w:rPr>
            </w:pPr>
          </w:p>
        </w:tc>
      </w:tr>
      <w:tr w:rsidR="008A3EB6"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8A3EB6" w:rsidRPr="00CF2E7C" w:rsidRDefault="008A3EB6" w:rsidP="008A3E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8A3EB6" w:rsidRPr="00CF2E7C" w:rsidRDefault="008A3EB6" w:rsidP="008A3EB6">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3C779D40" w:rsidR="008A3EB6" w:rsidRPr="00CF2E7C" w:rsidRDefault="008A3EB6" w:rsidP="008A3EB6">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0B4A272D" w:rsidR="00BE1F9E" w:rsidRPr="00CF2E7C" w:rsidRDefault="008A3EB6" w:rsidP="003E075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Pr="008A3EB6">
              <w:rPr>
                <w:rFonts w:ascii="Calibri" w:eastAsia="Times New Roman" w:hAnsi="Calibri" w:cs="Calibri"/>
                <w:kern w:val="0"/>
                <w:lang w:eastAsia="en-GB"/>
                <w14:ligatures w14:val="none"/>
              </w:rPr>
              <w:t>hese guidelines only include a broad requirement for institutions to perform scenario-based analyses, which will be further specified by the future guidelines on scenario analysis</w:t>
            </w:r>
            <w:r w:rsidR="003E075D">
              <w:rPr>
                <w:rFonts w:ascii="Calibri" w:eastAsia="Times New Roman" w:hAnsi="Calibri" w:cs="Calibri"/>
                <w:kern w:val="0"/>
                <w:lang w:eastAsia="en-GB"/>
                <w14:ligatures w14:val="none"/>
              </w:rPr>
              <w:t xml:space="preserve">, expected </w:t>
            </w:r>
            <w:r>
              <w:rPr>
                <w:rFonts w:ascii="Calibri" w:eastAsia="Times New Roman" w:hAnsi="Calibri" w:cs="Calibri"/>
                <w:kern w:val="0"/>
                <w:lang w:eastAsia="en-GB"/>
                <w14:ligatures w14:val="none"/>
              </w:rPr>
              <w:t xml:space="preserve"> by end-2025.</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20D4022" w:rsidR="00DC31BF" w:rsidRPr="00CF2E7C" w:rsidRDefault="0095348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1620B28" w:rsidR="0098226E" w:rsidRPr="00CF2E7C" w:rsidRDefault="0095348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4952B6DA" w:rsidR="00F10A6E" w:rsidRPr="00CF2E7C" w:rsidRDefault="0095348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0FF91DA2" w:rsidR="00F10A6E" w:rsidRPr="00CF2E7C" w:rsidRDefault="00B50917" w:rsidP="00CF2E7C">
            <w:pPr>
              <w:textAlignment w:val="baseline"/>
              <w:rPr>
                <w:rFonts w:ascii="Calibri" w:eastAsia="Times New Roman" w:hAnsi="Calibri" w:cs="Calibri"/>
                <w:kern w:val="0"/>
                <w:lang w:eastAsia="en-GB"/>
                <w14:ligatures w14:val="none"/>
              </w:rPr>
            </w:pPr>
            <w:r>
              <w:rPr>
                <w:rFonts w:eastAsia="Times New Roman" w:cstheme="minorHAnsi"/>
                <w:kern w:val="0"/>
                <w:lang w:eastAsia="en-GB"/>
                <w14:ligatures w14:val="none"/>
              </w:rPr>
              <w:t>Financial institutions’</w:t>
            </w:r>
            <w:r w:rsidR="00953488" w:rsidRPr="0075700E">
              <w:rPr>
                <w:rFonts w:eastAsia="Times New Roman" w:cstheme="minorHAnsi"/>
                <w:kern w:val="0"/>
                <w:lang w:eastAsia="en-GB"/>
                <w14:ligatures w14:val="none"/>
              </w:rPr>
              <w:t xml:space="preserve"> materiality assessment of ESG risks should use a risk-based approach that takes into account the likelihood of occurrence and the potential magnitude of the financial effects of ESG risks in the short and medium term and over a long-term horizon of at least 10 years</w:t>
            </w:r>
            <w:r w:rsidR="00953488">
              <w:rPr>
                <w:rFonts w:eastAsia="Times New Roman" w:cstheme="minorHAnsi"/>
                <w:kern w:val="0"/>
                <w:lang w:eastAsia="en-GB"/>
                <w14:ligatures w14:val="none"/>
              </w:rPr>
              <w:t xml:space="preserve"> (section 4.1.13)</w:t>
            </w:r>
            <w:r>
              <w:rPr>
                <w:rFonts w:eastAsia="Times New Roman" w:cstheme="minorHAnsi"/>
                <w:kern w:val="0"/>
                <w:lang w:eastAsia="en-GB"/>
                <w14:ligatures w14:val="none"/>
              </w:rPr>
              <w:t>.</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0B5EB25D" w:rsidR="00F26296" w:rsidRPr="00CF2E7C" w:rsidRDefault="007F35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4AED52CE" w:rsidR="00F26296" w:rsidRPr="00CF2E7C" w:rsidRDefault="007F35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0CCF57E0" w:rsidR="00F26296" w:rsidRPr="00CF2E7C" w:rsidRDefault="00745A81" w:rsidP="00CF2E7C">
            <w:pPr>
              <w:textAlignment w:val="baseline"/>
              <w:rPr>
                <w:rFonts w:ascii="Calibri" w:eastAsia="Times New Roman" w:hAnsi="Calibri" w:cs="Calibri"/>
                <w:kern w:val="0"/>
                <w:lang w:eastAsia="en-GB"/>
                <w14:ligatures w14:val="none"/>
              </w:rPr>
            </w:pPr>
            <w:r>
              <w:rPr>
                <w:rFonts w:eastAsia="Times New Roman" w:cstheme="minorHAnsi"/>
                <w:kern w:val="0"/>
                <w:lang w:eastAsia="en-GB"/>
                <w14:ligatures w14:val="none"/>
              </w:rPr>
              <w:t>The r</w:t>
            </w:r>
            <w:r w:rsidR="007F351E" w:rsidRPr="00107E68">
              <w:rPr>
                <w:rFonts w:eastAsia="Times New Roman" w:cstheme="minorHAnsi"/>
                <w:kern w:val="0"/>
                <w:lang w:eastAsia="en-GB"/>
                <w14:ligatures w14:val="none"/>
              </w:rPr>
              <w:t xml:space="preserve">esults of ESG risk scenario analysis should </w:t>
            </w:r>
            <w:r>
              <w:rPr>
                <w:rFonts w:eastAsia="Times New Roman" w:cstheme="minorHAnsi"/>
                <w:kern w:val="0"/>
                <w:lang w:eastAsia="en-GB"/>
                <w14:ligatures w14:val="none"/>
              </w:rPr>
              <w:t>assist</w:t>
            </w:r>
            <w:r w:rsidR="007F351E" w:rsidRPr="00107E68">
              <w:rPr>
                <w:rFonts w:eastAsia="Times New Roman" w:cstheme="minorHAnsi"/>
                <w:kern w:val="0"/>
                <w:lang w:eastAsia="en-GB"/>
                <w14:ligatures w14:val="none"/>
              </w:rPr>
              <w:t xml:space="preserve"> the institution's risk identification and strategic planning processes. They </w:t>
            </w:r>
            <w:r w:rsidR="007F351E">
              <w:rPr>
                <w:rFonts w:eastAsia="Times New Roman" w:cstheme="minorHAnsi"/>
                <w:kern w:val="0"/>
                <w:lang w:eastAsia="en-GB"/>
                <w14:ligatures w14:val="none"/>
              </w:rPr>
              <w:t xml:space="preserve">should </w:t>
            </w:r>
            <w:r w:rsidR="007F351E" w:rsidRPr="00107E68">
              <w:rPr>
                <w:rFonts w:eastAsia="Times New Roman" w:cstheme="minorHAnsi"/>
                <w:kern w:val="0"/>
                <w:lang w:eastAsia="en-GB"/>
                <w14:ligatures w14:val="none"/>
              </w:rPr>
              <w:t>inform internal governance, transition planning, and the institution’s ability to manage long-term ESG risks</w:t>
            </w:r>
            <w:r w:rsidR="007F351E">
              <w:rPr>
                <w:rFonts w:eastAsia="Times New Roman" w:cstheme="minorHAnsi"/>
                <w:kern w:val="0"/>
                <w:lang w:eastAsia="en-GB"/>
                <w14:ligatures w14:val="none"/>
              </w:rPr>
              <w:t xml:space="preserve"> (Section 5.2; 6.3)</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3213F7AB" w:rsidR="00F26296" w:rsidRPr="00CF2E7C" w:rsidRDefault="007F35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05889A49" w:rsidR="00F26296" w:rsidRPr="00CF2E7C" w:rsidRDefault="007F35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13036D1B" w:rsidR="00F26296" w:rsidRPr="00CF2E7C" w:rsidRDefault="00EA258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8CC2DF1" w14:textId="71F52FDE" w:rsidR="00EA2585" w:rsidRDefault="00EA2585" w:rsidP="00EA2585">
            <w:pPr>
              <w:textAlignment w:val="baseline"/>
              <w:rPr>
                <w:rFonts w:eastAsia="Times New Roman" w:cstheme="minorHAnsi"/>
                <w:kern w:val="0"/>
                <w:lang w:eastAsia="en-GB"/>
                <w14:ligatures w14:val="none"/>
              </w:rPr>
            </w:pPr>
            <w:r w:rsidRPr="00515F7D">
              <w:rPr>
                <w:rFonts w:eastAsia="Times New Roman" w:cstheme="minorHAnsi"/>
                <w:kern w:val="0"/>
                <w:lang w:eastAsia="en-GB"/>
                <w14:ligatures w14:val="none"/>
              </w:rPr>
              <w:t xml:space="preserve">Institutions should incorporate material ESG risks and their impacts on financial risk categories into their ICAAP to assess, and maintain on an ongoing basis, the amounts, types </w:t>
            </w:r>
            <w:r w:rsidR="003E075D" w:rsidRPr="00515F7D">
              <w:rPr>
                <w:rFonts w:eastAsia="Times New Roman" w:cstheme="minorHAnsi"/>
                <w:kern w:val="0"/>
                <w:lang w:eastAsia="en-GB"/>
                <w14:ligatures w14:val="none"/>
              </w:rPr>
              <w:t xml:space="preserve">and </w:t>
            </w:r>
            <w:r w:rsidR="003E075D">
              <w:rPr>
                <w:rFonts w:eastAsia="Times New Roman" w:cstheme="minorHAnsi"/>
                <w:kern w:val="0"/>
                <w:lang w:eastAsia="en-GB"/>
                <w14:ligatures w14:val="none"/>
              </w:rPr>
              <w:t>distribution</w:t>
            </w:r>
            <w:r w:rsidRPr="00515F7D">
              <w:rPr>
                <w:rFonts w:eastAsia="Times New Roman" w:cstheme="minorHAnsi"/>
                <w:kern w:val="0"/>
                <w:lang w:eastAsia="en-GB"/>
                <w14:ligatures w14:val="none"/>
              </w:rPr>
              <w:t xml:space="preserve"> of internal capital that they consider adequate to cover the nature and level of </w:t>
            </w:r>
            <w:r>
              <w:rPr>
                <w:rFonts w:eastAsia="Times New Roman" w:cstheme="minorHAnsi"/>
                <w:kern w:val="0"/>
                <w:lang w:eastAsia="en-GB"/>
                <w14:ligatures w14:val="none"/>
              </w:rPr>
              <w:t xml:space="preserve"> </w:t>
            </w:r>
            <w:r w:rsidRPr="00515F7D">
              <w:rPr>
                <w:rFonts w:eastAsia="Times New Roman" w:cstheme="minorHAnsi"/>
                <w:kern w:val="0"/>
                <w:lang w:eastAsia="en-GB"/>
                <w14:ligatures w14:val="none"/>
              </w:rPr>
              <w:t>ESG risks, taking into account the short, medium and long term</w:t>
            </w:r>
            <w:r>
              <w:rPr>
                <w:rFonts w:eastAsia="Times New Roman" w:cstheme="minorHAnsi"/>
                <w:kern w:val="0"/>
                <w:lang w:eastAsia="en-GB"/>
                <w14:ligatures w14:val="none"/>
              </w:rPr>
              <w:t xml:space="preserve"> (Section 5.5.60)</w:t>
            </w:r>
            <w:r w:rsidRPr="00515F7D">
              <w:rPr>
                <w:rFonts w:eastAsia="Times New Roman" w:cstheme="minorHAnsi"/>
                <w:kern w:val="0"/>
                <w:lang w:eastAsia="en-GB"/>
                <w14:ligatures w14:val="none"/>
              </w:rPr>
              <w:t>.</w:t>
            </w:r>
          </w:p>
          <w:p w14:paraId="06B9594B" w14:textId="77777777" w:rsidR="00EA2585" w:rsidRDefault="00EA2585" w:rsidP="00EA2585">
            <w:pPr>
              <w:textAlignment w:val="baseline"/>
              <w:rPr>
                <w:rFonts w:eastAsia="Times New Roman" w:cstheme="minorHAnsi"/>
                <w:kern w:val="0"/>
                <w:lang w:eastAsia="en-GB"/>
                <w14:ligatures w14:val="none"/>
              </w:rPr>
            </w:pPr>
            <w:r w:rsidRPr="00515F7D">
              <w:rPr>
                <w:rFonts w:eastAsia="Times New Roman" w:cstheme="minorHAnsi"/>
                <w:kern w:val="0"/>
                <w:lang w:eastAsia="en-GB"/>
                <w14:ligatures w14:val="none"/>
              </w:rPr>
              <w:t>Institutions should use insights gained from their risk assessment methodologies</w:t>
            </w:r>
            <w:r>
              <w:rPr>
                <w:rFonts w:eastAsia="Times New Roman" w:cstheme="minorHAnsi"/>
                <w:kern w:val="0"/>
                <w:lang w:eastAsia="en-GB"/>
                <w14:ligatures w14:val="none"/>
              </w:rPr>
              <w:t xml:space="preserve"> </w:t>
            </w:r>
            <w:r w:rsidRPr="00515F7D">
              <w:rPr>
                <w:rFonts w:eastAsia="Times New Roman" w:cstheme="minorHAnsi"/>
                <w:kern w:val="0"/>
                <w:lang w:eastAsia="en-GB"/>
                <w14:ligatures w14:val="none"/>
              </w:rPr>
              <w:t>to identify and measure internal capital needs for exposures or portfolios assessed as more vulnerable to ESG risks, taking into account the differing levels of availability and maturity of quantification methodologies for environmental risks compared to social and governance risks</w:t>
            </w:r>
            <w:r>
              <w:rPr>
                <w:rFonts w:eastAsia="Times New Roman" w:cstheme="minorHAnsi"/>
                <w:kern w:val="0"/>
                <w:lang w:eastAsia="en-GB"/>
                <w14:ligatures w14:val="none"/>
              </w:rPr>
              <w:t xml:space="preserve"> (Section 5.5.62)</w:t>
            </w:r>
            <w:r w:rsidRPr="00515F7D">
              <w:rPr>
                <w:rFonts w:eastAsia="Times New Roman" w:cstheme="minorHAnsi"/>
                <w:kern w:val="0"/>
                <w:lang w:eastAsia="en-GB"/>
                <w14:ligatures w14:val="none"/>
              </w:rPr>
              <w:t>.</w:t>
            </w:r>
          </w:p>
          <w:p w14:paraId="791E135E" w14:textId="284D53E5" w:rsidR="00EA2585" w:rsidRDefault="00EA2585" w:rsidP="00EA2585">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With regard to environmental risks, institutions should include in their ICAAP a forward-looking view of their capital adequacy under an adverse scenario that includes specific environmental risks (Section 5.5.63)</w:t>
            </w:r>
          </w:p>
          <w:p w14:paraId="72B998C9" w14:textId="39983EA0" w:rsidR="00EA2585" w:rsidRDefault="00EA2585" w:rsidP="00EA2585">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Institutions should include in their ICAAP framework a description of the risk appetite, thresholds and limits set for material ESG risks and their impacts on their solvency or liquidity (Section 5.5.65).</w:t>
            </w:r>
          </w:p>
          <w:p w14:paraId="1FDFE93C" w14:textId="20A75013" w:rsidR="00F26296" w:rsidRPr="00EA2585" w:rsidRDefault="00EA2585" w:rsidP="00EA2585">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For transitional planning, institutions should ensure that their plans and targets are aligned with their ICAAP and risk management framework (Section 6.1.86).</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1C9FF13E" w:rsidR="00F26296" w:rsidRPr="00CF2E7C" w:rsidRDefault="00EA258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159815A5" w:rsidR="00F26296" w:rsidRPr="00CF2E7C" w:rsidRDefault="00EA258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6FE36CFA" w:rsidR="00F26296" w:rsidRPr="00CF2E7C" w:rsidRDefault="00EA258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02D89DD2" w:rsidR="00B114FD" w:rsidRPr="00CF2E7C" w:rsidRDefault="00EA258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4B2B4373" w:rsidR="00B114FD" w:rsidRPr="00CF2E7C" w:rsidRDefault="00EA258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B67E2E0" w14:textId="77777777" w:rsidR="00EA2585" w:rsidRPr="00332313" w:rsidRDefault="00EA2585" w:rsidP="00EA2585">
            <w:pPr>
              <w:textAlignment w:val="baseline"/>
              <w:rPr>
                <w:rFonts w:eastAsia="Times New Roman" w:cstheme="minorHAnsi"/>
                <w:kern w:val="0"/>
                <w:lang w:eastAsia="en-GB"/>
                <w14:ligatures w14:val="none"/>
              </w:rPr>
            </w:pPr>
            <w:r w:rsidRPr="009E0C67">
              <w:rPr>
                <w:rFonts w:eastAsia="Times New Roman" w:cstheme="minorHAnsi"/>
                <w:kern w:val="0"/>
                <w:lang w:eastAsia="en-GB"/>
                <w14:ligatures w14:val="none"/>
              </w:rPr>
              <w:t>Institutions should incorporate material environmental risks and their impacts on liquidity in their internal liquidity adequacy assessment process (</w:t>
            </w:r>
            <w:r>
              <w:rPr>
                <w:rFonts w:eastAsia="Times New Roman" w:cstheme="minorHAnsi"/>
                <w:kern w:val="0"/>
                <w:lang w:eastAsia="en-GB"/>
                <w14:ligatures w14:val="none"/>
              </w:rPr>
              <w:t>“</w:t>
            </w:r>
            <w:r w:rsidRPr="009E0C67">
              <w:rPr>
                <w:rFonts w:eastAsia="Times New Roman" w:cstheme="minorHAnsi"/>
                <w:kern w:val="0"/>
                <w:lang w:eastAsia="en-GB"/>
                <w14:ligatures w14:val="none"/>
              </w:rPr>
              <w:t>ILAAP</w:t>
            </w:r>
            <w:r>
              <w:rPr>
                <w:rFonts w:eastAsia="Times New Roman" w:cstheme="minorHAnsi"/>
                <w:kern w:val="0"/>
                <w:lang w:eastAsia="en-GB"/>
                <w14:ligatures w14:val="none"/>
              </w:rPr>
              <w:t>”</w:t>
            </w:r>
            <w:r w:rsidRPr="009E0C67">
              <w:rPr>
                <w:rFonts w:eastAsia="Times New Roman" w:cstheme="minorHAnsi"/>
                <w:kern w:val="0"/>
                <w:lang w:eastAsia="en-GB"/>
                <w14:ligatures w14:val="none"/>
              </w:rPr>
              <w:t>) over appropriate time horizons within the scope of the ILAAP coverage</w:t>
            </w:r>
            <w:r>
              <w:rPr>
                <w:rFonts w:eastAsia="Times New Roman" w:cstheme="minorHAnsi"/>
                <w:kern w:val="0"/>
                <w:lang w:eastAsia="en-GB"/>
                <w14:ligatures w14:val="none"/>
              </w:rPr>
              <w:t xml:space="preserve"> (Section 5.5.60)</w:t>
            </w:r>
          </w:p>
          <w:p w14:paraId="407B4077" w14:textId="77777777" w:rsidR="00EA2585" w:rsidRPr="00332313" w:rsidRDefault="00EA2585" w:rsidP="00EA2585">
            <w:pPr>
              <w:textAlignment w:val="baseline"/>
              <w:rPr>
                <w:rFonts w:eastAsia="Times New Roman" w:cstheme="minorHAnsi"/>
                <w:kern w:val="0"/>
                <w:lang w:eastAsia="en-GB"/>
                <w14:ligatures w14:val="none"/>
              </w:rPr>
            </w:pPr>
            <w:r w:rsidRPr="009E0C67">
              <w:rPr>
                <w:rFonts w:eastAsia="Times New Roman" w:cstheme="minorHAnsi"/>
                <w:kern w:val="0"/>
                <w:lang w:eastAsia="en-GB"/>
                <w14:ligatures w14:val="none"/>
              </w:rPr>
              <w:t>Institutions should include in their ICAAP and ILAAP frameworks a description of the risk appetite, thresholds and limits set for material ESG risks and material environmental risks and their impacts on their solvency or liquidity</w:t>
            </w:r>
            <w:r>
              <w:rPr>
                <w:rFonts w:eastAsia="Times New Roman" w:cstheme="minorHAnsi"/>
                <w:kern w:val="0"/>
                <w:lang w:eastAsia="en-GB"/>
                <w14:ligatures w14:val="none"/>
              </w:rPr>
              <w:t xml:space="preserve"> (Section 5.5.65).</w:t>
            </w:r>
          </w:p>
          <w:p w14:paraId="6495BBCB" w14:textId="63B4211F" w:rsidR="00EA2585" w:rsidRDefault="00EA2585" w:rsidP="00EA2585">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For liquidity and funding risk, institutions should consider how ESG risks could affect net cash outflows or the value of assets that constitute their liquidity buffers and incorporate these impacts </w:t>
            </w:r>
            <w:r w:rsidR="003E075D">
              <w:rPr>
                <w:rFonts w:eastAsia="Times New Roman" w:cstheme="minorHAnsi"/>
                <w:kern w:val="0"/>
                <w:lang w:eastAsia="en-GB"/>
                <w14:ligatures w14:val="none"/>
              </w:rPr>
              <w:t>into</w:t>
            </w:r>
            <w:r>
              <w:rPr>
                <w:rFonts w:eastAsia="Times New Roman" w:cstheme="minorHAnsi"/>
                <w:kern w:val="0"/>
                <w:lang w:eastAsia="en-GB"/>
                <w14:ligatures w14:val="none"/>
              </w:rPr>
              <w:t xml:space="preserve"> the calibration of their liquidity buffers or their liquidity risk management framework (Section 5.6.3.71).</w:t>
            </w:r>
          </w:p>
          <w:p w14:paraId="5F523CD3" w14:textId="77777777" w:rsidR="00EA2585" w:rsidRPr="00332313" w:rsidRDefault="00EA2585" w:rsidP="00EA2585">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For environmental risk, institutions should consider how these risks could affect the availability of their funding sources and take them into account in their management of funding risk (Section 5.6.3.72).</w:t>
            </w:r>
          </w:p>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3A8B55C5" w:rsidR="00B114FD" w:rsidRPr="00CF2E7C" w:rsidRDefault="00EA2585" w:rsidP="00CF2E7C">
            <w:pPr>
              <w:textAlignment w:val="baseline"/>
              <w:rPr>
                <w:rFonts w:ascii="Calibri" w:eastAsia="Times New Roman" w:hAnsi="Calibri" w:cs="Calibri"/>
                <w:kern w:val="0"/>
                <w:lang w:eastAsia="en-GB"/>
                <w14:ligatures w14:val="none"/>
              </w:rPr>
            </w:pPr>
            <w:r>
              <w:rPr>
                <w:rFonts w:eastAsia="Times New Roman" w:cstheme="minorHAnsi"/>
                <w:kern w:val="0"/>
                <w:lang w:eastAsia="en-GB"/>
                <w14:ligatures w14:val="none"/>
              </w:rPr>
              <w:t>With regard to environmental risks, institutions should make a forward-looking analysis on their capital adequacy under an adverse scenario that includes specific environmental risks elements. In addition, institutions should specify changes to their business plan or other measures derived from stress testing and reverse stress testing (Section 5.5.63).</w:t>
            </w: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05056272" w:rsidR="00702413" w:rsidRPr="009C4D10" w:rsidRDefault="00C733D2" w:rsidP="00C733D2">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The Annex contains feedback from various stakeholders and the EBA’s response to these comments. The main challenges highlighted include: (1) the lack of reliable and comprehensive ESG data; (2) the complexity of the required methodologies; (3) the complexity of performing ESG scenario analysis; (4) the burden of compliance for small institutions; and (5) the challenges in gathering ESG-related information from counterparties.</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lastRenderedPageBreak/>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6958B598" w:rsidR="00FE0EA5" w:rsidRPr="009C4D10" w:rsidRDefault="00C733D2" w:rsidP="00CF2E7C">
            <w:pPr>
              <w:rPr>
                <w:rFonts w:cstheme="minorHAnsi"/>
              </w:rPr>
            </w:pPr>
            <w:r>
              <w:rPr>
                <w:rFonts w:cstheme="minorHAnsi"/>
                <w:lang w:val="en-SG"/>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01897B7A" w:rsidR="00FE0EA5" w:rsidRPr="009C4D10" w:rsidRDefault="00C733D2" w:rsidP="00CF2E7C">
            <w:pPr>
              <w:rPr>
                <w:rFonts w:cstheme="minorHAnsi"/>
              </w:rPr>
            </w:pPr>
            <w:r>
              <w:rPr>
                <w:rFonts w:cstheme="minorHAnsi"/>
                <w:lang w:val="en-SG"/>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0860C66F" w:rsidR="00FE0EA5" w:rsidRPr="009C4D10" w:rsidRDefault="00C733D2" w:rsidP="00CF2E7C">
            <w:pPr>
              <w:rPr>
                <w:rFonts w:cstheme="minorHAnsi"/>
              </w:rPr>
            </w:pPr>
            <w:r>
              <w:rPr>
                <w:rFonts w:cstheme="minorHAnsi"/>
                <w:lang w:val="en-SG"/>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0E999CB9" w:rsidR="00FE0EA5" w:rsidRPr="009C4D10" w:rsidRDefault="00C733D2" w:rsidP="00CF2E7C">
            <w:pPr>
              <w:rPr>
                <w:rFonts w:cstheme="minorHAnsi"/>
              </w:rPr>
            </w:pPr>
            <w:r>
              <w:rPr>
                <w:rFonts w:cstheme="minorHAnsi"/>
                <w:lang w:val="en-SG"/>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3C3CAC75" w:rsidR="00FE0EA5" w:rsidRPr="009C4D10" w:rsidRDefault="00C733D2" w:rsidP="00CF2E7C">
            <w:pPr>
              <w:rPr>
                <w:rFonts w:cstheme="minorHAnsi"/>
              </w:rPr>
            </w:pPr>
            <w:r>
              <w:rPr>
                <w:rFonts w:cstheme="minorHAnsi"/>
                <w:lang w:val="en-SG"/>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3892337C" w:rsidR="00FE0EA5" w:rsidRPr="009C4D10" w:rsidRDefault="00C733D2" w:rsidP="00CF2E7C">
            <w:pPr>
              <w:rPr>
                <w:rFonts w:cstheme="minorHAnsi"/>
              </w:rPr>
            </w:pPr>
            <w:r>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03EF3EB7" w:rsidR="00FE0EA5" w:rsidRPr="009C4D10" w:rsidRDefault="00C733D2" w:rsidP="00CF2E7C">
            <w:pPr>
              <w:rPr>
                <w:rFonts w:cstheme="minorHAnsi"/>
              </w:rPr>
            </w:pPr>
            <w:r>
              <w:rPr>
                <w:rFonts w:cstheme="minorHAnsi"/>
                <w:lang w:val="en-SG"/>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6526BBF1" w:rsidR="00C01AF9" w:rsidRPr="009C4D10" w:rsidRDefault="00C733D2" w:rsidP="00C733D2">
            <w:pPr>
              <w:rPr>
                <w:rFonts w:cstheme="minorHAnsi"/>
              </w:rPr>
            </w:pPr>
            <w:r>
              <w:rPr>
                <w:rFonts w:cstheme="minorHAnsi"/>
              </w:rPr>
              <w:t xml:space="preserve">The policy tool mentions that it took into account the guidance published by supervisors or networks of central banks, such as the EU Platform on Sustainable Finance and the UK transition Plan Taskforce, without specifying the standards, frameworks or guidelines referenced. </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DC2543"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0B6597" w:rsidRDefault="002F0752" w:rsidP="00CF2E7C">
            <w:pPr>
              <w:rPr>
                <w:rFonts w:ascii="Calibri" w:hAnsi="Calibri" w:cs="Calibri"/>
                <w:lang w:val="fr-FR"/>
              </w:rPr>
            </w:pPr>
            <w:r w:rsidRPr="000B6597">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0B6597" w:rsidRDefault="002F0752" w:rsidP="00CF2E7C">
            <w:pPr>
              <w:rPr>
                <w:rFonts w:ascii="Calibri" w:hAnsi="Calibri" w:cs="Calibri"/>
                <w:lang w:val="fr-FR"/>
              </w:rPr>
            </w:pPr>
          </w:p>
        </w:tc>
      </w:tr>
      <w:tr w:rsidR="002F0752" w:rsidRPr="00FE15A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2BBFBE" w14:textId="77777777" w:rsidR="007B5583" w:rsidRDefault="007B5583" w:rsidP="00874E39">
      <w:r>
        <w:separator/>
      </w:r>
    </w:p>
  </w:endnote>
  <w:endnote w:type="continuationSeparator" w:id="0">
    <w:p w14:paraId="5DE19D2F" w14:textId="77777777" w:rsidR="007B5583" w:rsidRDefault="007B5583" w:rsidP="00874E39">
      <w:r>
        <w:continuationSeparator/>
      </w:r>
    </w:p>
  </w:endnote>
  <w:endnote w:type="continuationNotice" w:id="1">
    <w:p w14:paraId="537C4B92" w14:textId="77777777" w:rsidR="007B5583" w:rsidRDefault="007B558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7D6CE1" w14:textId="77777777" w:rsidR="007B5583" w:rsidRDefault="007B5583" w:rsidP="00874E39">
      <w:r>
        <w:separator/>
      </w:r>
    </w:p>
  </w:footnote>
  <w:footnote w:type="continuationSeparator" w:id="0">
    <w:p w14:paraId="58D2180C" w14:textId="77777777" w:rsidR="007B5583" w:rsidRDefault="007B5583" w:rsidP="00874E39">
      <w:r>
        <w:continuationSeparator/>
      </w:r>
    </w:p>
  </w:footnote>
  <w:footnote w:type="continuationNotice" w:id="1">
    <w:p w14:paraId="608BD019" w14:textId="77777777" w:rsidR="007B5583" w:rsidRDefault="007B558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B993685"/>
    <w:multiLevelType w:val="hybridMultilevel"/>
    <w:tmpl w:val="7A4050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6"/>
  </w:num>
  <w:num w:numId="49" w16cid:durableId="321006353">
    <w:abstractNumId w:val="4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149"/>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6597"/>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08AD"/>
    <w:rsid w:val="00161D1B"/>
    <w:rsid w:val="00162CC0"/>
    <w:rsid w:val="00164519"/>
    <w:rsid w:val="00171F6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0B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32"/>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669A"/>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075D"/>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60A"/>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365"/>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EB7"/>
    <w:rsid w:val="005B355B"/>
    <w:rsid w:val="005B4539"/>
    <w:rsid w:val="005C327C"/>
    <w:rsid w:val="005C4420"/>
    <w:rsid w:val="005C5681"/>
    <w:rsid w:val="005C6A1D"/>
    <w:rsid w:val="005C765C"/>
    <w:rsid w:val="005C7DF6"/>
    <w:rsid w:val="005D02C9"/>
    <w:rsid w:val="005D1868"/>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4AD4"/>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0CD"/>
    <w:rsid w:val="00685A4F"/>
    <w:rsid w:val="006878AC"/>
    <w:rsid w:val="00690B2A"/>
    <w:rsid w:val="006936EF"/>
    <w:rsid w:val="006943E9"/>
    <w:rsid w:val="00694A4F"/>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C74"/>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5A81"/>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69BA"/>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583"/>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351E"/>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5BAA"/>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3EB6"/>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2D6"/>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5E6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488"/>
    <w:rsid w:val="00953E75"/>
    <w:rsid w:val="009556EA"/>
    <w:rsid w:val="00955BFF"/>
    <w:rsid w:val="00956390"/>
    <w:rsid w:val="0095736B"/>
    <w:rsid w:val="00960F14"/>
    <w:rsid w:val="009612D3"/>
    <w:rsid w:val="00962064"/>
    <w:rsid w:val="00962F14"/>
    <w:rsid w:val="00963A39"/>
    <w:rsid w:val="00963DC5"/>
    <w:rsid w:val="009649F8"/>
    <w:rsid w:val="00965F2B"/>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1B7"/>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B66"/>
    <w:rsid w:val="00A47C6E"/>
    <w:rsid w:val="00A501D9"/>
    <w:rsid w:val="00A503F1"/>
    <w:rsid w:val="00A53328"/>
    <w:rsid w:val="00A5358D"/>
    <w:rsid w:val="00A53874"/>
    <w:rsid w:val="00A55B96"/>
    <w:rsid w:val="00A56BE5"/>
    <w:rsid w:val="00A56DE0"/>
    <w:rsid w:val="00A57E93"/>
    <w:rsid w:val="00A60DA8"/>
    <w:rsid w:val="00A612AD"/>
    <w:rsid w:val="00A6137C"/>
    <w:rsid w:val="00A613AD"/>
    <w:rsid w:val="00A615A6"/>
    <w:rsid w:val="00A623D0"/>
    <w:rsid w:val="00A631EB"/>
    <w:rsid w:val="00A705CD"/>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55F3"/>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467"/>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917"/>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384"/>
    <w:rsid w:val="00BE049B"/>
    <w:rsid w:val="00BE0825"/>
    <w:rsid w:val="00BE13CB"/>
    <w:rsid w:val="00BE15A1"/>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3D2"/>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2543"/>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67FFD"/>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4A8D"/>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2585"/>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090"/>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15AC"/>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9160233">
      <w:bodyDiv w:val="1"/>
      <w:marLeft w:val="0"/>
      <w:marRight w:val="0"/>
      <w:marTop w:val="0"/>
      <w:marBottom w:val="0"/>
      <w:divBdr>
        <w:top w:val="none" w:sz="0" w:space="0" w:color="auto"/>
        <w:left w:val="none" w:sz="0" w:space="0" w:color="auto"/>
        <w:bottom w:val="none" w:sz="0" w:space="0" w:color="auto"/>
        <w:right w:val="none" w:sz="0" w:space="0" w:color="auto"/>
      </w:divBdr>
      <w:divsChild>
        <w:div w:id="1954436456">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30153230/https://www.eba.europa.eu/sites/default/files/2025-01/fb22982a-d69d-42cc-9d62-1023497ad58a/Final%20Guidelines%20on%20the%20management%20of%20ESG%20risks.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753</TotalTime>
  <Pages>114</Pages>
  <Words>24381</Words>
  <Characters>133366</Characters>
  <Application>Microsoft Office Word</Application>
  <DocSecurity>0</DocSecurity>
  <Lines>1961</Lines>
  <Paragraphs>579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Kernevès, Camille</cp:lastModifiedBy>
  <cp:revision>3</cp:revision>
  <cp:lastPrinted>2025-03-21T00:14:00Z</cp:lastPrinted>
  <dcterms:created xsi:type="dcterms:W3CDTF">2025-07-24T07:17:00Z</dcterms:created>
  <dcterms:modified xsi:type="dcterms:W3CDTF">2025-07-29T15:35:00Z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